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C1" w:rsidRPr="00064F7B" w:rsidRDefault="00421358" w:rsidP="00421358">
      <w:pPr>
        <w:pStyle w:val="a3"/>
        <w:spacing w:after="120"/>
        <w:jc w:val="center"/>
        <w:rPr>
          <w:lang w:val="en-US"/>
        </w:rPr>
      </w:pPr>
      <w:r>
        <w:rPr>
          <w:lang w:val="en-US"/>
        </w:rPr>
        <w:t xml:space="preserve">Corporate action notice/Insider information disclosure </w:t>
      </w:r>
      <w:r>
        <w:rPr>
          <w:lang w:val="en-US"/>
        </w:rPr>
        <w:b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912"/>
        <w:gridCol w:w="1173"/>
        <w:gridCol w:w="982"/>
        <w:gridCol w:w="752"/>
        <w:gridCol w:w="1462"/>
        <w:gridCol w:w="3240"/>
      </w:tblGrid>
      <w:tr w:rsidR="002D087E" w:rsidTr="005E297B">
        <w:trPr>
          <w:trHeight w:val="20"/>
        </w:trPr>
        <w:tc>
          <w:tcPr>
            <w:tcW w:w="5000" w:type="pct"/>
            <w:gridSpan w:val="7"/>
          </w:tcPr>
          <w:p w:rsidR="001E53C1" w:rsidRDefault="00421358" w:rsidP="00A238DA">
            <w:pPr>
              <w:pStyle w:val="TableParagraph"/>
              <w:ind w:left="0"/>
              <w:jc w:val="center"/>
              <w:rPr>
                <w:sz w:val="24"/>
              </w:rPr>
            </w:pPr>
            <w:r>
              <w:rPr>
                <w:sz w:val="24"/>
                <w:lang w:val="en-US"/>
              </w:rPr>
              <w:t>1. General</w:t>
            </w:r>
          </w:p>
        </w:tc>
      </w:tr>
      <w:tr w:rsidR="002D087E" w:rsidRPr="00064F7B" w:rsidTr="005E297B">
        <w:trPr>
          <w:trHeight w:val="20"/>
        </w:trPr>
        <w:tc>
          <w:tcPr>
            <w:tcW w:w="2206" w:type="pct"/>
            <w:gridSpan w:val="4"/>
          </w:tcPr>
          <w:p w:rsidR="001E53C1" w:rsidRPr="00064F7B" w:rsidRDefault="00421358" w:rsidP="005E297B">
            <w:pPr>
              <w:pStyle w:val="TableParagraph"/>
              <w:ind w:left="0"/>
              <w:rPr>
                <w:sz w:val="24"/>
                <w:lang w:val="en-US"/>
              </w:rPr>
            </w:pPr>
            <w:r>
              <w:rPr>
                <w:sz w:val="24"/>
                <w:lang w:val="en-US"/>
              </w:rPr>
              <w:t>1.1. Full corporate name of the Issuer:</w:t>
            </w:r>
          </w:p>
        </w:tc>
        <w:tc>
          <w:tcPr>
            <w:tcW w:w="2794" w:type="pct"/>
            <w:gridSpan w:val="3"/>
          </w:tcPr>
          <w:p w:rsidR="001E53C1" w:rsidRPr="00064F7B" w:rsidRDefault="00421358" w:rsidP="005E297B">
            <w:pPr>
              <w:pStyle w:val="TableParagraph"/>
              <w:tabs>
                <w:tab w:val="left" w:pos="2083"/>
                <w:tab w:val="left" w:pos="4194"/>
              </w:tabs>
              <w:ind w:left="0"/>
              <w:rPr>
                <w:b/>
                <w:sz w:val="24"/>
                <w:lang w:val="en-US"/>
              </w:rPr>
            </w:pPr>
            <w:r>
              <w:rPr>
                <w:b/>
                <w:sz w:val="24"/>
                <w:lang w:val="en-US"/>
              </w:rPr>
              <w:t>Public Joint Stock Company "Interregional Distribution Grid Company of the South”</w:t>
            </w:r>
          </w:p>
        </w:tc>
      </w:tr>
      <w:tr w:rsidR="002D087E" w:rsidRPr="00064F7B" w:rsidTr="005E297B">
        <w:trPr>
          <w:trHeight w:val="20"/>
        </w:trPr>
        <w:tc>
          <w:tcPr>
            <w:tcW w:w="2206" w:type="pct"/>
            <w:gridSpan w:val="4"/>
          </w:tcPr>
          <w:p w:rsidR="001E53C1" w:rsidRPr="00064F7B" w:rsidRDefault="00421358" w:rsidP="005E297B">
            <w:pPr>
              <w:pStyle w:val="TableParagraph"/>
              <w:tabs>
                <w:tab w:val="left" w:pos="2935"/>
              </w:tabs>
              <w:ind w:left="0"/>
              <w:rPr>
                <w:sz w:val="24"/>
                <w:lang w:val="en-US"/>
              </w:rPr>
            </w:pPr>
            <w:r>
              <w:rPr>
                <w:sz w:val="24"/>
                <w:lang w:val="en-US"/>
              </w:rPr>
              <w:t>1.2. Abbreviated corporate name of the Issuer:</w:t>
            </w:r>
          </w:p>
        </w:tc>
        <w:tc>
          <w:tcPr>
            <w:tcW w:w="2794" w:type="pct"/>
            <w:gridSpan w:val="3"/>
          </w:tcPr>
          <w:p w:rsidR="001E53C1" w:rsidRPr="00064F7B" w:rsidRDefault="00421358" w:rsidP="005E297B">
            <w:pPr>
              <w:pStyle w:val="TableParagraph"/>
              <w:ind w:left="0"/>
              <w:rPr>
                <w:b/>
                <w:sz w:val="24"/>
                <w:lang w:val="en-US"/>
              </w:rPr>
            </w:pPr>
            <w:r>
              <w:rPr>
                <w:b/>
                <w:sz w:val="24"/>
                <w:lang w:val="en-US"/>
              </w:rPr>
              <w:t>IDGC of the South, PJSC</w:t>
            </w:r>
          </w:p>
        </w:tc>
      </w:tr>
      <w:tr w:rsidR="002D087E" w:rsidRPr="00064F7B" w:rsidTr="005E297B">
        <w:trPr>
          <w:trHeight w:val="20"/>
        </w:trPr>
        <w:tc>
          <w:tcPr>
            <w:tcW w:w="2206" w:type="pct"/>
            <w:gridSpan w:val="4"/>
          </w:tcPr>
          <w:p w:rsidR="001E53C1" w:rsidRDefault="00421358" w:rsidP="005E297B">
            <w:pPr>
              <w:pStyle w:val="TableParagraph"/>
              <w:ind w:left="0"/>
              <w:rPr>
                <w:sz w:val="24"/>
              </w:rPr>
            </w:pPr>
            <w:r>
              <w:rPr>
                <w:sz w:val="24"/>
                <w:lang w:val="en-US"/>
              </w:rPr>
              <w:t>1.3. Location of the Issuer:</w:t>
            </w:r>
          </w:p>
        </w:tc>
        <w:tc>
          <w:tcPr>
            <w:tcW w:w="2794" w:type="pct"/>
            <w:gridSpan w:val="3"/>
          </w:tcPr>
          <w:p w:rsidR="001E53C1" w:rsidRPr="00064F7B" w:rsidRDefault="00421358" w:rsidP="005E297B">
            <w:pPr>
              <w:pStyle w:val="TableParagraph"/>
              <w:ind w:left="0"/>
              <w:rPr>
                <w:b/>
                <w:sz w:val="24"/>
                <w:lang w:val="en-US"/>
              </w:rPr>
            </w:pPr>
            <w:r>
              <w:rPr>
                <w:b/>
                <w:sz w:val="24"/>
                <w:lang w:val="en-US"/>
              </w:rPr>
              <w:t>Rostov-on-Don, Russian Federation</w:t>
            </w:r>
          </w:p>
        </w:tc>
      </w:tr>
      <w:tr w:rsidR="002D087E" w:rsidTr="005E297B">
        <w:trPr>
          <w:trHeight w:val="20"/>
        </w:trPr>
        <w:tc>
          <w:tcPr>
            <w:tcW w:w="2206" w:type="pct"/>
            <w:gridSpan w:val="4"/>
          </w:tcPr>
          <w:p w:rsidR="001E53C1" w:rsidRDefault="00421358" w:rsidP="005E297B">
            <w:pPr>
              <w:pStyle w:val="TableParagraph"/>
              <w:ind w:left="0"/>
              <w:rPr>
                <w:sz w:val="24"/>
              </w:rPr>
            </w:pPr>
            <w:r>
              <w:rPr>
                <w:sz w:val="24"/>
                <w:lang w:val="en-US"/>
              </w:rPr>
              <w:t>1.4. OGRN of the Issuer:</w:t>
            </w:r>
          </w:p>
        </w:tc>
        <w:tc>
          <w:tcPr>
            <w:tcW w:w="2794" w:type="pct"/>
            <w:gridSpan w:val="3"/>
          </w:tcPr>
          <w:p w:rsidR="001E53C1" w:rsidRDefault="00421358" w:rsidP="005E297B">
            <w:pPr>
              <w:pStyle w:val="TableParagraph"/>
              <w:ind w:left="0"/>
              <w:rPr>
                <w:b/>
                <w:sz w:val="24"/>
              </w:rPr>
            </w:pPr>
            <w:r>
              <w:rPr>
                <w:b/>
                <w:sz w:val="24"/>
                <w:lang w:val="en-US"/>
              </w:rPr>
              <w:t>1076164009096</w:t>
            </w:r>
          </w:p>
        </w:tc>
      </w:tr>
      <w:tr w:rsidR="002D087E" w:rsidTr="005E297B">
        <w:trPr>
          <w:trHeight w:val="20"/>
        </w:trPr>
        <w:tc>
          <w:tcPr>
            <w:tcW w:w="2206" w:type="pct"/>
            <w:gridSpan w:val="4"/>
          </w:tcPr>
          <w:p w:rsidR="001E53C1" w:rsidRDefault="00421358" w:rsidP="005E297B">
            <w:pPr>
              <w:pStyle w:val="TableParagraph"/>
              <w:ind w:left="0"/>
              <w:rPr>
                <w:sz w:val="24"/>
              </w:rPr>
            </w:pPr>
            <w:r>
              <w:rPr>
                <w:sz w:val="24"/>
                <w:lang w:val="en-US"/>
              </w:rPr>
              <w:t>1.5. TIN of the Issuer:</w:t>
            </w:r>
          </w:p>
        </w:tc>
        <w:tc>
          <w:tcPr>
            <w:tcW w:w="2794" w:type="pct"/>
            <w:gridSpan w:val="3"/>
          </w:tcPr>
          <w:p w:rsidR="001E53C1" w:rsidRDefault="00421358" w:rsidP="005E297B">
            <w:pPr>
              <w:pStyle w:val="TableParagraph"/>
              <w:ind w:left="0"/>
              <w:rPr>
                <w:b/>
                <w:sz w:val="24"/>
              </w:rPr>
            </w:pPr>
            <w:r>
              <w:rPr>
                <w:b/>
                <w:sz w:val="24"/>
                <w:lang w:val="en-US"/>
              </w:rPr>
              <w:t>6164266561</w:t>
            </w:r>
          </w:p>
        </w:tc>
      </w:tr>
      <w:tr w:rsidR="002D087E" w:rsidTr="005E297B">
        <w:trPr>
          <w:trHeight w:val="20"/>
        </w:trPr>
        <w:tc>
          <w:tcPr>
            <w:tcW w:w="2206" w:type="pct"/>
            <w:gridSpan w:val="4"/>
          </w:tcPr>
          <w:p w:rsidR="001E53C1" w:rsidRPr="00064F7B" w:rsidRDefault="00421358" w:rsidP="005E297B">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tcPr>
          <w:p w:rsidR="001E53C1" w:rsidRDefault="00421358" w:rsidP="005E297B">
            <w:pPr>
              <w:pStyle w:val="TableParagraph"/>
              <w:ind w:left="0"/>
              <w:rPr>
                <w:b/>
                <w:sz w:val="24"/>
              </w:rPr>
            </w:pPr>
            <w:r>
              <w:rPr>
                <w:b/>
                <w:sz w:val="24"/>
                <w:lang w:val="en-US"/>
              </w:rPr>
              <w:t>34956-Е</w:t>
            </w:r>
          </w:p>
        </w:tc>
      </w:tr>
      <w:tr w:rsidR="002D087E" w:rsidRPr="00064F7B" w:rsidTr="005E297B">
        <w:trPr>
          <w:trHeight w:val="722"/>
        </w:trPr>
        <w:tc>
          <w:tcPr>
            <w:tcW w:w="2206" w:type="pct"/>
            <w:gridSpan w:val="4"/>
          </w:tcPr>
          <w:p w:rsidR="001E53C1" w:rsidRPr="00064F7B" w:rsidRDefault="00421358" w:rsidP="005E297B">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tcPr>
          <w:p w:rsidR="005E297B" w:rsidRPr="00064F7B" w:rsidRDefault="00064F7B" w:rsidP="005E297B">
            <w:pPr>
              <w:pStyle w:val="TableParagraph"/>
              <w:ind w:left="0"/>
              <w:rPr>
                <w:b/>
                <w:sz w:val="24"/>
                <w:lang w:val="en-US"/>
              </w:rPr>
            </w:pPr>
            <w:hyperlink r:id="rId7" w:history="1">
              <w:r w:rsidR="00421358">
                <w:rPr>
                  <w:b/>
                  <w:sz w:val="24"/>
                  <w:u w:val="thick"/>
                  <w:lang w:val="en-US"/>
                </w:rPr>
                <w:t>http</w:t>
              </w:r>
              <w:r w:rsidR="00421358" w:rsidRPr="00064F7B">
                <w:rPr>
                  <w:b/>
                  <w:sz w:val="24"/>
                  <w:u w:val="thick"/>
                  <w:lang w:val="en-US"/>
                </w:rPr>
                <w:t>://</w:t>
              </w:r>
              <w:r w:rsidR="00421358">
                <w:rPr>
                  <w:b/>
                  <w:sz w:val="24"/>
                  <w:u w:val="thick"/>
                  <w:lang w:val="en-US"/>
                </w:rPr>
                <w:t>www</w:t>
              </w:r>
              <w:r w:rsidR="00421358" w:rsidRPr="00064F7B">
                <w:rPr>
                  <w:b/>
                  <w:sz w:val="24"/>
                  <w:u w:val="thick"/>
                  <w:lang w:val="en-US"/>
                </w:rPr>
                <w:t>.</w:t>
              </w:r>
              <w:r w:rsidR="00421358">
                <w:rPr>
                  <w:b/>
                  <w:sz w:val="24"/>
                  <w:u w:val="thick"/>
                  <w:lang w:val="en-US"/>
                </w:rPr>
                <w:t>mrsk</w:t>
              </w:r>
              <w:r w:rsidR="00421358" w:rsidRPr="00064F7B">
                <w:rPr>
                  <w:b/>
                  <w:sz w:val="24"/>
                  <w:u w:val="thick"/>
                  <w:lang w:val="en-US"/>
                </w:rPr>
                <w:t>-</w:t>
              </w:r>
              <w:r w:rsidR="00421358">
                <w:rPr>
                  <w:b/>
                  <w:sz w:val="24"/>
                  <w:u w:val="thick"/>
                  <w:lang w:val="en-US"/>
                </w:rPr>
                <w:t>yuga</w:t>
              </w:r>
              <w:r w:rsidR="00421358" w:rsidRPr="00064F7B">
                <w:rPr>
                  <w:b/>
                  <w:sz w:val="24"/>
                  <w:u w:val="thick"/>
                  <w:lang w:val="en-US"/>
                </w:rPr>
                <w:t>.</w:t>
              </w:r>
              <w:r w:rsidR="00421358">
                <w:rPr>
                  <w:b/>
                  <w:sz w:val="24"/>
                  <w:u w:val="thick"/>
                  <w:lang w:val="en-US"/>
                </w:rPr>
                <w:t>ru</w:t>
              </w:r>
            </w:hyperlink>
            <w:r w:rsidR="00421358" w:rsidRPr="00064F7B">
              <w:rPr>
                <w:b/>
                <w:sz w:val="24"/>
                <w:lang w:val="en-US"/>
              </w:rPr>
              <w:t xml:space="preserve"> </w:t>
            </w:r>
          </w:p>
          <w:p w:rsidR="001E53C1" w:rsidRPr="00064F7B" w:rsidRDefault="00064F7B" w:rsidP="005E297B">
            <w:pPr>
              <w:pStyle w:val="TableParagraph"/>
              <w:ind w:left="0"/>
              <w:rPr>
                <w:b/>
                <w:sz w:val="24"/>
                <w:lang w:val="en-US"/>
              </w:rPr>
            </w:pPr>
            <w:hyperlink r:id="rId8" w:history="1">
              <w:r w:rsidR="00421358">
                <w:rPr>
                  <w:b/>
                  <w:sz w:val="24"/>
                  <w:u w:val="thick"/>
                  <w:lang w:val="en-US"/>
                </w:rPr>
                <w:t>http</w:t>
              </w:r>
              <w:r w:rsidR="00421358" w:rsidRPr="00064F7B">
                <w:rPr>
                  <w:b/>
                  <w:sz w:val="24"/>
                  <w:u w:val="thick"/>
                  <w:lang w:val="en-US"/>
                </w:rPr>
                <w:t>://</w:t>
              </w:r>
              <w:r w:rsidR="00421358">
                <w:rPr>
                  <w:b/>
                  <w:sz w:val="24"/>
                  <w:u w:val="thick"/>
                  <w:lang w:val="en-US"/>
                </w:rPr>
                <w:t>www</w:t>
              </w:r>
              <w:r w:rsidR="00421358" w:rsidRPr="00064F7B">
                <w:rPr>
                  <w:b/>
                  <w:sz w:val="24"/>
                  <w:u w:val="thick"/>
                  <w:lang w:val="en-US"/>
                </w:rPr>
                <w:t>.</w:t>
              </w:r>
              <w:r w:rsidR="00421358">
                <w:rPr>
                  <w:b/>
                  <w:sz w:val="24"/>
                  <w:u w:val="thick"/>
                  <w:lang w:val="en-US"/>
                </w:rPr>
                <w:t>e</w:t>
              </w:r>
              <w:r w:rsidR="00421358" w:rsidRPr="00064F7B">
                <w:rPr>
                  <w:b/>
                  <w:sz w:val="24"/>
                  <w:u w:val="thick"/>
                  <w:lang w:val="en-US"/>
                </w:rPr>
                <w:t>-</w:t>
              </w:r>
            </w:hyperlink>
            <w:hyperlink r:id="rId9" w:history="1">
              <w:r w:rsidR="00421358" w:rsidRPr="005E297B">
                <w:rPr>
                  <w:b/>
                  <w:sz w:val="24"/>
                  <w:u w:val="thick"/>
                  <w:lang w:val="en-US"/>
                </w:rPr>
                <w:t>disclosure</w:t>
              </w:r>
              <w:r w:rsidR="00421358" w:rsidRPr="00064F7B">
                <w:rPr>
                  <w:b/>
                  <w:sz w:val="24"/>
                  <w:u w:val="thick"/>
                  <w:lang w:val="en-US"/>
                </w:rPr>
                <w:t>.</w:t>
              </w:r>
              <w:r w:rsidR="00421358" w:rsidRPr="005E297B">
                <w:rPr>
                  <w:b/>
                  <w:sz w:val="24"/>
                  <w:u w:val="thick"/>
                  <w:lang w:val="en-US"/>
                </w:rPr>
                <w:t>ru</w:t>
              </w:r>
              <w:r w:rsidR="00421358" w:rsidRPr="00064F7B">
                <w:rPr>
                  <w:b/>
                  <w:sz w:val="24"/>
                  <w:u w:val="thick"/>
                  <w:lang w:val="en-US"/>
                </w:rPr>
                <w:t>/</w:t>
              </w:r>
              <w:r w:rsidR="00421358" w:rsidRPr="005E297B">
                <w:rPr>
                  <w:b/>
                  <w:sz w:val="24"/>
                  <w:u w:val="thick"/>
                  <w:lang w:val="en-US"/>
                </w:rPr>
                <w:t>portal</w:t>
              </w:r>
              <w:r w:rsidR="00421358" w:rsidRPr="00064F7B">
                <w:rPr>
                  <w:b/>
                  <w:sz w:val="24"/>
                  <w:u w:val="thick"/>
                  <w:lang w:val="en-US"/>
                </w:rPr>
                <w:t>/</w:t>
              </w:r>
              <w:r w:rsidR="00421358" w:rsidRPr="005E297B">
                <w:rPr>
                  <w:b/>
                  <w:sz w:val="24"/>
                  <w:u w:val="thick"/>
                  <w:lang w:val="en-US"/>
                </w:rPr>
                <w:t>company</w:t>
              </w:r>
              <w:r w:rsidR="00421358" w:rsidRPr="00064F7B">
                <w:rPr>
                  <w:b/>
                  <w:sz w:val="24"/>
                  <w:u w:val="thick"/>
                  <w:lang w:val="en-US"/>
                </w:rPr>
                <w:t>.</w:t>
              </w:r>
              <w:r w:rsidR="00421358" w:rsidRPr="005E297B">
                <w:rPr>
                  <w:b/>
                  <w:sz w:val="24"/>
                  <w:u w:val="thick"/>
                  <w:lang w:val="en-US"/>
                </w:rPr>
                <w:t>aspx</w:t>
              </w:r>
              <w:r w:rsidR="00421358" w:rsidRPr="00064F7B">
                <w:rPr>
                  <w:b/>
                  <w:sz w:val="24"/>
                  <w:u w:val="thick"/>
                  <w:lang w:val="en-US"/>
                </w:rPr>
                <w:t>?</w:t>
              </w:r>
              <w:r w:rsidR="00421358" w:rsidRPr="005E297B">
                <w:rPr>
                  <w:b/>
                  <w:sz w:val="24"/>
                  <w:u w:val="thick"/>
                  <w:lang w:val="en-US"/>
                </w:rPr>
                <w:t>id</w:t>
              </w:r>
              <w:r w:rsidR="00421358" w:rsidRPr="00064F7B">
                <w:rPr>
                  <w:b/>
                  <w:sz w:val="24"/>
                  <w:u w:val="thick"/>
                  <w:lang w:val="en-US"/>
                </w:rPr>
                <w:t>=11999</w:t>
              </w:r>
            </w:hyperlink>
          </w:p>
        </w:tc>
      </w:tr>
      <w:tr w:rsidR="002D087E" w:rsidTr="005E297B">
        <w:trPr>
          <w:trHeight w:val="20"/>
        </w:trPr>
        <w:tc>
          <w:tcPr>
            <w:tcW w:w="2206" w:type="pct"/>
            <w:gridSpan w:val="4"/>
          </w:tcPr>
          <w:p w:rsidR="001E53C1" w:rsidRPr="00064F7B" w:rsidRDefault="00421358" w:rsidP="005E297B">
            <w:pPr>
              <w:pStyle w:val="TableParagraph"/>
              <w:ind w:left="0"/>
              <w:jc w:val="both"/>
              <w:rPr>
                <w:sz w:val="24"/>
                <w:lang w:val="en-US"/>
              </w:rPr>
            </w:pPr>
            <w:r>
              <w:rPr>
                <w:sz w:val="24"/>
                <w:lang w:val="en-US"/>
              </w:rPr>
              <w:t>1.8. Event effective date (material fact) of which the message is composed (if applicable):</w:t>
            </w:r>
          </w:p>
        </w:tc>
        <w:tc>
          <w:tcPr>
            <w:tcW w:w="2794" w:type="pct"/>
            <w:gridSpan w:val="3"/>
            <w:vAlign w:val="center"/>
          </w:tcPr>
          <w:p w:rsidR="001E53C1" w:rsidRDefault="00421358" w:rsidP="005E297B">
            <w:pPr>
              <w:pStyle w:val="TableParagraph"/>
              <w:ind w:left="0"/>
              <w:rPr>
                <w:b/>
                <w:sz w:val="24"/>
              </w:rPr>
            </w:pPr>
            <w:r>
              <w:rPr>
                <w:b/>
                <w:sz w:val="24"/>
                <w:lang w:val="en-US"/>
              </w:rPr>
              <w:t>June 3, 2019</w:t>
            </w:r>
          </w:p>
        </w:tc>
      </w:tr>
      <w:tr w:rsidR="002D087E" w:rsidTr="005E297B">
        <w:trPr>
          <w:trHeight w:val="20"/>
        </w:trPr>
        <w:tc>
          <w:tcPr>
            <w:tcW w:w="5000" w:type="pct"/>
            <w:gridSpan w:val="7"/>
          </w:tcPr>
          <w:p w:rsidR="001E53C1" w:rsidRDefault="00421358" w:rsidP="00A238DA">
            <w:pPr>
              <w:pStyle w:val="TableParagraph"/>
              <w:ind w:left="0"/>
              <w:jc w:val="center"/>
              <w:rPr>
                <w:sz w:val="24"/>
              </w:rPr>
            </w:pPr>
            <w:r>
              <w:rPr>
                <w:sz w:val="24"/>
                <w:lang w:val="en-US"/>
              </w:rPr>
              <w:t>2. Notice content</w:t>
            </w:r>
          </w:p>
        </w:tc>
      </w:tr>
      <w:tr w:rsidR="002D087E" w:rsidRPr="00064F7B" w:rsidTr="005E297B">
        <w:trPr>
          <w:trHeight w:val="20"/>
        </w:trPr>
        <w:tc>
          <w:tcPr>
            <w:tcW w:w="5000" w:type="pct"/>
            <w:gridSpan w:val="7"/>
          </w:tcPr>
          <w:p w:rsidR="001E53C1" w:rsidRPr="00064F7B" w:rsidRDefault="00421358" w:rsidP="005E297B">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rsidR="001E53C1" w:rsidRPr="00064F7B" w:rsidRDefault="00064F7B" w:rsidP="005E297B">
            <w:pPr>
              <w:pStyle w:val="TableParagraph"/>
              <w:ind w:left="0"/>
              <w:rPr>
                <w:b/>
                <w:lang w:val="en-US"/>
              </w:rPr>
            </w:pPr>
          </w:p>
          <w:p w:rsidR="001E53C1" w:rsidRPr="00064F7B" w:rsidRDefault="00421358" w:rsidP="005E297B">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1E53C1" w:rsidRPr="00064F7B" w:rsidRDefault="00421358" w:rsidP="005E297B">
            <w:pPr>
              <w:pStyle w:val="TableParagraph"/>
              <w:ind w:left="0"/>
              <w:jc w:val="both"/>
              <w:rPr>
                <w:sz w:val="24"/>
                <w:lang w:val="en-US"/>
              </w:rPr>
            </w:pPr>
            <w:r>
              <w:rPr>
                <w:sz w:val="24"/>
                <w:lang w:val="en-US"/>
              </w:rPr>
              <w:t>"PRO" is 9 votes;</w:t>
            </w:r>
          </w:p>
          <w:p w:rsidR="001E53C1" w:rsidRPr="00064F7B" w:rsidRDefault="00421358" w:rsidP="005E297B">
            <w:pPr>
              <w:pStyle w:val="TableParagraph"/>
              <w:ind w:left="0"/>
              <w:jc w:val="both"/>
              <w:rPr>
                <w:sz w:val="24"/>
                <w:lang w:val="en-US"/>
              </w:rPr>
            </w:pPr>
            <w:r>
              <w:rPr>
                <w:sz w:val="24"/>
                <w:lang w:val="en-US"/>
              </w:rPr>
              <w:t>"CON" is 0 votes;</w:t>
            </w:r>
          </w:p>
          <w:p w:rsidR="001E53C1" w:rsidRPr="00064F7B" w:rsidRDefault="00421358" w:rsidP="005E297B">
            <w:pPr>
              <w:pStyle w:val="TableParagraph"/>
              <w:ind w:left="0"/>
              <w:jc w:val="both"/>
              <w:rPr>
                <w:sz w:val="24"/>
                <w:lang w:val="en-US"/>
              </w:rPr>
            </w:pPr>
            <w:r>
              <w:rPr>
                <w:sz w:val="24"/>
                <w:lang w:val="en-US"/>
              </w:rPr>
              <w:t>"ABSTAIN" is 2 votes.</w:t>
            </w:r>
          </w:p>
          <w:p w:rsidR="001E53C1" w:rsidRPr="00064F7B" w:rsidRDefault="00064F7B" w:rsidP="005E297B">
            <w:pPr>
              <w:pStyle w:val="TableParagraph"/>
              <w:ind w:left="0"/>
              <w:rPr>
                <w:b/>
                <w:sz w:val="24"/>
                <w:lang w:val="en-US"/>
              </w:rPr>
            </w:pPr>
          </w:p>
          <w:p w:rsidR="001E53C1" w:rsidRPr="00064F7B" w:rsidRDefault="00421358" w:rsidP="005E297B">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rsidR="001E53C1" w:rsidRPr="00064F7B" w:rsidRDefault="00421358" w:rsidP="005E297B">
            <w:pPr>
              <w:pStyle w:val="TableParagraph"/>
              <w:ind w:left="0"/>
              <w:jc w:val="both"/>
              <w:rPr>
                <w:sz w:val="24"/>
                <w:lang w:val="en-US"/>
              </w:rPr>
            </w:pPr>
            <w:r>
              <w:rPr>
                <w:sz w:val="24"/>
                <w:lang w:val="en-US"/>
              </w:rPr>
              <w:t>"PRO" is 9 votes;</w:t>
            </w:r>
          </w:p>
          <w:p w:rsidR="001E53C1" w:rsidRPr="00064F7B" w:rsidRDefault="00421358" w:rsidP="005E297B">
            <w:pPr>
              <w:pStyle w:val="TableParagraph"/>
              <w:ind w:left="0"/>
              <w:jc w:val="both"/>
              <w:rPr>
                <w:sz w:val="24"/>
                <w:lang w:val="en-US"/>
              </w:rPr>
            </w:pPr>
            <w:r>
              <w:rPr>
                <w:sz w:val="24"/>
                <w:lang w:val="en-US"/>
              </w:rPr>
              <w:t>"CON" is 0 votes;</w:t>
            </w:r>
          </w:p>
          <w:p w:rsidR="001E53C1" w:rsidRPr="00064F7B" w:rsidRDefault="00421358" w:rsidP="005E297B">
            <w:pPr>
              <w:pStyle w:val="TableParagraph"/>
              <w:ind w:left="0"/>
              <w:jc w:val="both"/>
              <w:rPr>
                <w:sz w:val="24"/>
                <w:lang w:val="en-US"/>
              </w:rPr>
            </w:pPr>
            <w:r>
              <w:rPr>
                <w:sz w:val="24"/>
                <w:lang w:val="en-US"/>
              </w:rPr>
              <w:t>"ABSTAIN" is 2 votes.</w:t>
            </w:r>
          </w:p>
          <w:p w:rsidR="001E53C1" w:rsidRPr="00064F7B" w:rsidRDefault="00064F7B" w:rsidP="005E297B">
            <w:pPr>
              <w:pStyle w:val="TableParagraph"/>
              <w:ind w:left="0"/>
              <w:rPr>
                <w:b/>
                <w:sz w:val="24"/>
                <w:lang w:val="en-US"/>
              </w:rPr>
            </w:pPr>
          </w:p>
          <w:p w:rsidR="001E53C1" w:rsidRPr="00064F7B" w:rsidRDefault="00421358" w:rsidP="005E297B">
            <w:pPr>
              <w:pStyle w:val="TableParagraph"/>
              <w:ind w:left="0"/>
              <w:jc w:val="both"/>
              <w:rPr>
                <w:sz w:val="24"/>
                <w:lang w:val="en-US"/>
              </w:rPr>
            </w:pPr>
            <w:r>
              <w:rPr>
                <w:sz w:val="24"/>
                <w:lang w:val="en-US"/>
              </w:rPr>
              <w:t xml:space="preserve">Voting results </w:t>
            </w:r>
            <w:r>
              <w:rPr>
                <w:b/>
                <w:sz w:val="24"/>
                <w:lang w:val="en-US"/>
              </w:rPr>
              <w:t>on issue No. 3</w:t>
            </w:r>
            <w:r>
              <w:rPr>
                <w:sz w:val="24"/>
                <w:lang w:val="en-US"/>
              </w:rPr>
              <w:t xml:space="preserve"> of the agenda:</w:t>
            </w:r>
          </w:p>
          <w:p w:rsidR="001E53C1" w:rsidRPr="00064F7B" w:rsidRDefault="00421358" w:rsidP="005E297B">
            <w:pPr>
              <w:pStyle w:val="TableParagraph"/>
              <w:ind w:left="0"/>
              <w:jc w:val="both"/>
              <w:rPr>
                <w:sz w:val="24"/>
                <w:lang w:val="en-US"/>
              </w:rPr>
            </w:pPr>
            <w:r>
              <w:rPr>
                <w:sz w:val="24"/>
                <w:lang w:val="en-US"/>
              </w:rPr>
              <w:t>"PRO" is 10 votes;</w:t>
            </w:r>
          </w:p>
          <w:p w:rsidR="001E53C1" w:rsidRPr="00064F7B" w:rsidRDefault="00421358" w:rsidP="005E297B">
            <w:pPr>
              <w:pStyle w:val="TableParagraph"/>
              <w:ind w:left="0"/>
              <w:jc w:val="both"/>
              <w:rPr>
                <w:sz w:val="24"/>
                <w:lang w:val="en-US"/>
              </w:rPr>
            </w:pPr>
            <w:r>
              <w:rPr>
                <w:sz w:val="24"/>
                <w:lang w:val="en-US"/>
              </w:rPr>
              <w:t>"CON" is 0 votes;</w:t>
            </w:r>
          </w:p>
          <w:p w:rsidR="001E53C1" w:rsidRPr="00064F7B" w:rsidRDefault="00421358" w:rsidP="005E297B">
            <w:pPr>
              <w:pStyle w:val="TableParagraph"/>
              <w:ind w:left="0"/>
              <w:jc w:val="both"/>
              <w:rPr>
                <w:sz w:val="24"/>
                <w:lang w:val="en-US"/>
              </w:rPr>
            </w:pPr>
            <w:r>
              <w:rPr>
                <w:sz w:val="24"/>
                <w:lang w:val="en-US"/>
              </w:rPr>
              <w:t>"ABSTAIN" is 1 vote.</w:t>
            </w:r>
          </w:p>
          <w:p w:rsidR="001E53C1" w:rsidRPr="00064F7B" w:rsidRDefault="00064F7B" w:rsidP="005E297B">
            <w:pPr>
              <w:pStyle w:val="TableParagraph"/>
              <w:ind w:left="0"/>
              <w:rPr>
                <w:b/>
                <w:sz w:val="24"/>
                <w:lang w:val="en-US"/>
              </w:rPr>
            </w:pPr>
          </w:p>
          <w:p w:rsidR="001E53C1" w:rsidRPr="00064F7B" w:rsidRDefault="00421358" w:rsidP="005E297B">
            <w:pPr>
              <w:pStyle w:val="TableParagraph"/>
              <w:ind w:left="0"/>
              <w:jc w:val="both"/>
              <w:rPr>
                <w:sz w:val="24"/>
                <w:lang w:val="en-US"/>
              </w:rPr>
            </w:pPr>
            <w:r>
              <w:rPr>
                <w:sz w:val="24"/>
                <w:lang w:val="en-US"/>
              </w:rPr>
              <w:t xml:space="preserve">Voting results </w:t>
            </w:r>
            <w:r>
              <w:rPr>
                <w:b/>
                <w:sz w:val="24"/>
                <w:lang w:val="en-US"/>
              </w:rPr>
              <w:t>on issue No. 4</w:t>
            </w:r>
            <w:r>
              <w:rPr>
                <w:sz w:val="24"/>
                <w:lang w:val="en-US"/>
              </w:rPr>
              <w:t xml:space="preserve"> of the agenda:</w:t>
            </w:r>
          </w:p>
          <w:p w:rsidR="001E53C1" w:rsidRPr="00064F7B" w:rsidRDefault="00421358" w:rsidP="005E297B">
            <w:pPr>
              <w:pStyle w:val="TableParagraph"/>
              <w:ind w:left="0"/>
              <w:jc w:val="both"/>
              <w:rPr>
                <w:sz w:val="24"/>
                <w:lang w:val="en-US"/>
              </w:rPr>
            </w:pPr>
            <w:r>
              <w:rPr>
                <w:sz w:val="24"/>
                <w:lang w:val="en-US"/>
              </w:rPr>
              <w:t>"PRO" is 10 votes;</w:t>
            </w:r>
          </w:p>
          <w:p w:rsidR="001E53C1" w:rsidRPr="00064F7B" w:rsidRDefault="00421358" w:rsidP="005E297B">
            <w:pPr>
              <w:pStyle w:val="TableParagraph"/>
              <w:ind w:left="0"/>
              <w:jc w:val="both"/>
              <w:rPr>
                <w:sz w:val="24"/>
                <w:lang w:val="en-US"/>
              </w:rPr>
            </w:pPr>
            <w:r>
              <w:rPr>
                <w:sz w:val="24"/>
                <w:lang w:val="en-US"/>
              </w:rPr>
              <w:t>"CON" is 0 votes;</w:t>
            </w:r>
          </w:p>
          <w:p w:rsidR="001E53C1" w:rsidRPr="00064F7B" w:rsidRDefault="00421358" w:rsidP="005E297B">
            <w:pPr>
              <w:pStyle w:val="TableParagraph"/>
              <w:ind w:left="0"/>
              <w:jc w:val="both"/>
              <w:rPr>
                <w:sz w:val="24"/>
                <w:lang w:val="en-US"/>
              </w:rPr>
            </w:pPr>
            <w:r>
              <w:rPr>
                <w:sz w:val="24"/>
                <w:lang w:val="en-US"/>
              </w:rPr>
              <w:t>"ABSTAIN" is 1 vote.</w:t>
            </w:r>
          </w:p>
          <w:p w:rsidR="001E53C1" w:rsidRPr="00064F7B" w:rsidRDefault="00064F7B" w:rsidP="005E297B">
            <w:pPr>
              <w:pStyle w:val="TableParagraph"/>
              <w:ind w:left="0"/>
              <w:rPr>
                <w:b/>
                <w:sz w:val="24"/>
                <w:lang w:val="en-US"/>
              </w:rPr>
            </w:pPr>
          </w:p>
          <w:p w:rsidR="001E53C1" w:rsidRPr="00064F7B" w:rsidRDefault="00421358" w:rsidP="005E297B">
            <w:pPr>
              <w:pStyle w:val="TableParagraph"/>
              <w:ind w:left="0"/>
              <w:jc w:val="both"/>
              <w:rPr>
                <w:sz w:val="24"/>
                <w:lang w:val="en-US"/>
              </w:rPr>
            </w:pPr>
            <w:r>
              <w:rPr>
                <w:sz w:val="24"/>
                <w:lang w:val="en-US"/>
              </w:rPr>
              <w:t xml:space="preserve">Voting results </w:t>
            </w:r>
            <w:r>
              <w:rPr>
                <w:b/>
                <w:sz w:val="24"/>
                <w:lang w:val="en-US"/>
              </w:rPr>
              <w:t>on issue No. 5</w:t>
            </w:r>
            <w:r>
              <w:rPr>
                <w:sz w:val="24"/>
                <w:lang w:val="en-US"/>
              </w:rPr>
              <w:t xml:space="preserve"> of the agenda:</w:t>
            </w:r>
          </w:p>
          <w:p w:rsidR="001E53C1" w:rsidRPr="00064F7B" w:rsidRDefault="00421358" w:rsidP="005E297B">
            <w:pPr>
              <w:pStyle w:val="TableParagraph"/>
              <w:ind w:left="0"/>
              <w:jc w:val="both"/>
              <w:rPr>
                <w:sz w:val="24"/>
                <w:lang w:val="en-US"/>
              </w:rPr>
            </w:pPr>
            <w:r>
              <w:rPr>
                <w:sz w:val="24"/>
                <w:lang w:val="en-US"/>
              </w:rPr>
              <w:t>"PRO" is 9 votes;</w:t>
            </w:r>
          </w:p>
          <w:p w:rsidR="001E53C1" w:rsidRPr="00064F7B" w:rsidRDefault="00421358" w:rsidP="005E297B">
            <w:pPr>
              <w:pStyle w:val="TableParagraph"/>
              <w:ind w:left="0"/>
              <w:jc w:val="both"/>
              <w:rPr>
                <w:sz w:val="24"/>
                <w:lang w:val="en-US"/>
              </w:rPr>
            </w:pPr>
            <w:r>
              <w:rPr>
                <w:sz w:val="24"/>
                <w:lang w:val="en-US"/>
              </w:rPr>
              <w:t>"CON" is 0 votes;</w:t>
            </w:r>
          </w:p>
          <w:p w:rsidR="001E53C1" w:rsidRPr="00064F7B" w:rsidRDefault="00421358" w:rsidP="005E297B">
            <w:pPr>
              <w:pStyle w:val="TableParagraph"/>
              <w:ind w:left="0"/>
              <w:jc w:val="both"/>
              <w:rPr>
                <w:sz w:val="24"/>
                <w:lang w:val="en-US"/>
              </w:rPr>
            </w:pPr>
            <w:r>
              <w:rPr>
                <w:sz w:val="24"/>
                <w:lang w:val="en-US"/>
              </w:rPr>
              <w:t>"ABSTAIN" is 2 votes.</w:t>
            </w:r>
          </w:p>
          <w:p w:rsidR="001E53C1" w:rsidRPr="00064F7B" w:rsidRDefault="00064F7B" w:rsidP="005E297B">
            <w:pPr>
              <w:pStyle w:val="TableParagraph"/>
              <w:ind w:left="0"/>
              <w:rPr>
                <w:b/>
                <w:sz w:val="23"/>
                <w:lang w:val="en-US"/>
              </w:rPr>
            </w:pPr>
          </w:p>
          <w:p w:rsidR="001E53C1" w:rsidRPr="00064F7B" w:rsidRDefault="00421358" w:rsidP="005E297B">
            <w:pPr>
              <w:pStyle w:val="TableParagraph"/>
              <w:ind w:left="0"/>
              <w:jc w:val="both"/>
              <w:rPr>
                <w:sz w:val="24"/>
                <w:lang w:val="en-US"/>
              </w:rPr>
            </w:pPr>
            <w:r>
              <w:rPr>
                <w:sz w:val="24"/>
                <w:lang w:val="en-US"/>
              </w:rPr>
              <w:t xml:space="preserve">Voting results </w:t>
            </w:r>
            <w:r>
              <w:rPr>
                <w:b/>
                <w:sz w:val="24"/>
                <w:lang w:val="en-US"/>
              </w:rPr>
              <w:t>on issue No. 6</w:t>
            </w:r>
            <w:r>
              <w:rPr>
                <w:sz w:val="24"/>
                <w:lang w:val="en-US"/>
              </w:rPr>
              <w:t xml:space="preserve"> of the agenda:</w:t>
            </w:r>
          </w:p>
        </w:tc>
      </w:tr>
      <w:tr w:rsidR="002D087E" w:rsidTr="005E297B">
        <w:trPr>
          <w:trHeight w:val="20"/>
        </w:trPr>
        <w:tc>
          <w:tcPr>
            <w:tcW w:w="5000" w:type="pct"/>
            <w:gridSpan w:val="7"/>
          </w:tcPr>
          <w:p w:rsidR="001E53C1" w:rsidRDefault="00421358" w:rsidP="005E297B">
            <w:pPr>
              <w:pStyle w:val="TableParagraph"/>
              <w:ind w:left="0"/>
              <w:rPr>
                <w:sz w:val="24"/>
              </w:rPr>
            </w:pPr>
            <w:r>
              <w:rPr>
                <w:sz w:val="24"/>
                <w:lang w:val="en-US"/>
              </w:rPr>
              <w:lastRenderedPageBreak/>
              <w:t>"PRO" is 10 votes;</w:t>
            </w:r>
          </w:p>
          <w:p w:rsidR="001E53C1" w:rsidRDefault="00421358" w:rsidP="005E297B">
            <w:pPr>
              <w:pStyle w:val="TableParagraph"/>
              <w:ind w:left="0"/>
              <w:rPr>
                <w:sz w:val="24"/>
              </w:rPr>
            </w:pPr>
            <w:r>
              <w:rPr>
                <w:sz w:val="24"/>
                <w:lang w:val="en-US"/>
              </w:rPr>
              <w:t>"CON" is 0 votes;</w:t>
            </w:r>
          </w:p>
          <w:p w:rsidR="001E53C1" w:rsidRDefault="00421358" w:rsidP="005E297B">
            <w:pPr>
              <w:pStyle w:val="TableParagraph"/>
              <w:ind w:left="0"/>
              <w:rPr>
                <w:sz w:val="24"/>
              </w:rPr>
            </w:pPr>
            <w:r>
              <w:rPr>
                <w:sz w:val="24"/>
                <w:lang w:val="en-US"/>
              </w:rPr>
              <w:t>"ABSTAIN" is 1 vote.</w:t>
            </w:r>
          </w:p>
          <w:p w:rsidR="001E53C1" w:rsidRDefault="00064F7B" w:rsidP="005E297B">
            <w:pPr>
              <w:pStyle w:val="TableParagraph"/>
              <w:ind w:left="0"/>
              <w:rPr>
                <w:sz w:val="24"/>
              </w:rPr>
            </w:pPr>
          </w:p>
          <w:p w:rsidR="001E53C1" w:rsidRDefault="00421358" w:rsidP="005E297B">
            <w:pPr>
              <w:pStyle w:val="TableParagraph"/>
              <w:ind w:left="0"/>
              <w:rPr>
                <w:sz w:val="24"/>
              </w:rPr>
            </w:pPr>
            <w:r>
              <w:rPr>
                <w:sz w:val="24"/>
                <w:lang w:val="en-US"/>
              </w:rPr>
              <w:t xml:space="preserve">Voting results </w:t>
            </w:r>
            <w:r>
              <w:rPr>
                <w:b/>
                <w:sz w:val="24"/>
                <w:lang w:val="en-US"/>
              </w:rPr>
              <w:t>on issue No. 7</w:t>
            </w:r>
            <w:r>
              <w:rPr>
                <w:sz w:val="24"/>
                <w:lang w:val="en-US"/>
              </w:rPr>
              <w:t xml:space="preserve"> of the agenda:</w:t>
            </w:r>
          </w:p>
          <w:p w:rsidR="001E53C1" w:rsidRDefault="00421358" w:rsidP="005E297B">
            <w:pPr>
              <w:pStyle w:val="TableParagraph"/>
              <w:ind w:left="0"/>
              <w:rPr>
                <w:sz w:val="24"/>
              </w:rPr>
            </w:pPr>
            <w:r>
              <w:rPr>
                <w:sz w:val="24"/>
                <w:lang w:val="en-US"/>
              </w:rPr>
              <w:t>"PRO" is 9 votes;</w:t>
            </w:r>
          </w:p>
          <w:p w:rsidR="001E53C1" w:rsidRDefault="00421358" w:rsidP="005E297B">
            <w:pPr>
              <w:pStyle w:val="TableParagraph"/>
              <w:ind w:left="0"/>
              <w:rPr>
                <w:sz w:val="24"/>
              </w:rPr>
            </w:pPr>
            <w:r>
              <w:rPr>
                <w:sz w:val="24"/>
                <w:lang w:val="en-US"/>
              </w:rPr>
              <w:t>"CON" is 0 votes;</w:t>
            </w:r>
          </w:p>
          <w:p w:rsidR="001E53C1" w:rsidRDefault="00421358" w:rsidP="005E297B">
            <w:pPr>
              <w:pStyle w:val="TableParagraph"/>
              <w:ind w:left="0"/>
              <w:rPr>
                <w:sz w:val="24"/>
              </w:rPr>
            </w:pPr>
            <w:r>
              <w:rPr>
                <w:sz w:val="24"/>
                <w:lang w:val="en-US"/>
              </w:rPr>
              <w:t>"ABSTAIN" is 2 votes.</w:t>
            </w:r>
          </w:p>
          <w:p w:rsidR="001E53C1" w:rsidRDefault="00064F7B" w:rsidP="005E297B">
            <w:pPr>
              <w:pStyle w:val="TableParagraph"/>
              <w:ind w:left="0"/>
              <w:rPr>
                <w:sz w:val="24"/>
              </w:rPr>
            </w:pPr>
          </w:p>
          <w:p w:rsidR="001E53C1" w:rsidRDefault="00421358" w:rsidP="005E297B">
            <w:pPr>
              <w:pStyle w:val="TableParagraph"/>
              <w:ind w:left="0"/>
              <w:rPr>
                <w:sz w:val="24"/>
              </w:rPr>
            </w:pPr>
            <w:r>
              <w:rPr>
                <w:sz w:val="24"/>
                <w:lang w:val="en-US"/>
              </w:rPr>
              <w:t xml:space="preserve">Voting results </w:t>
            </w:r>
            <w:r>
              <w:rPr>
                <w:b/>
                <w:sz w:val="24"/>
                <w:lang w:val="en-US"/>
              </w:rPr>
              <w:t>on issue No. 8</w:t>
            </w:r>
            <w:r>
              <w:rPr>
                <w:sz w:val="24"/>
                <w:lang w:val="en-US"/>
              </w:rPr>
              <w:t xml:space="preserve"> of the agenda:</w:t>
            </w:r>
          </w:p>
          <w:p w:rsidR="001E53C1" w:rsidRDefault="00421358" w:rsidP="005E297B">
            <w:pPr>
              <w:pStyle w:val="TableParagraph"/>
              <w:ind w:left="0"/>
              <w:rPr>
                <w:sz w:val="24"/>
              </w:rPr>
            </w:pPr>
            <w:r>
              <w:rPr>
                <w:sz w:val="24"/>
                <w:lang w:val="en-US"/>
              </w:rPr>
              <w:t>"PRO" is 10 votes;</w:t>
            </w:r>
          </w:p>
          <w:p w:rsidR="001E53C1" w:rsidRDefault="00421358" w:rsidP="005E297B">
            <w:pPr>
              <w:pStyle w:val="TableParagraph"/>
              <w:ind w:left="0"/>
              <w:rPr>
                <w:sz w:val="24"/>
              </w:rPr>
            </w:pPr>
            <w:r>
              <w:rPr>
                <w:sz w:val="24"/>
                <w:lang w:val="en-US"/>
              </w:rPr>
              <w:t>"CON" is 0 votes;</w:t>
            </w:r>
          </w:p>
          <w:p w:rsidR="001E53C1" w:rsidRDefault="00421358" w:rsidP="005E297B">
            <w:pPr>
              <w:pStyle w:val="TableParagraph"/>
              <w:ind w:left="0"/>
              <w:rPr>
                <w:sz w:val="24"/>
              </w:rPr>
            </w:pPr>
            <w:r>
              <w:rPr>
                <w:sz w:val="24"/>
                <w:lang w:val="en-US"/>
              </w:rPr>
              <w:t>"ABSTAIN" is 1 vote.</w:t>
            </w:r>
          </w:p>
          <w:p w:rsidR="001E53C1" w:rsidRDefault="00064F7B" w:rsidP="005E297B">
            <w:pPr>
              <w:pStyle w:val="TableParagraph"/>
              <w:ind w:left="0"/>
              <w:rPr>
                <w:sz w:val="24"/>
              </w:rPr>
            </w:pPr>
          </w:p>
          <w:p w:rsidR="001E53C1" w:rsidRDefault="00421358" w:rsidP="005E297B">
            <w:pPr>
              <w:pStyle w:val="TableParagraph"/>
              <w:ind w:left="0"/>
              <w:rPr>
                <w:sz w:val="24"/>
              </w:rPr>
            </w:pPr>
            <w:r>
              <w:rPr>
                <w:sz w:val="24"/>
                <w:lang w:val="en-US"/>
              </w:rPr>
              <w:t xml:space="preserve">Voting results </w:t>
            </w:r>
            <w:r>
              <w:rPr>
                <w:b/>
                <w:sz w:val="24"/>
                <w:lang w:val="en-US"/>
              </w:rPr>
              <w:t>on issue No. 9</w:t>
            </w:r>
            <w:r>
              <w:rPr>
                <w:sz w:val="24"/>
                <w:lang w:val="en-US"/>
              </w:rPr>
              <w:t xml:space="preserve"> of the agenda:</w:t>
            </w:r>
          </w:p>
          <w:p w:rsidR="001E53C1" w:rsidRDefault="00421358" w:rsidP="005E297B">
            <w:pPr>
              <w:pStyle w:val="TableParagraph"/>
              <w:ind w:left="0"/>
              <w:rPr>
                <w:sz w:val="24"/>
              </w:rPr>
            </w:pPr>
            <w:r>
              <w:rPr>
                <w:sz w:val="24"/>
                <w:lang w:val="en-US"/>
              </w:rPr>
              <w:t>"PRO" is 9 votes;</w:t>
            </w:r>
          </w:p>
          <w:p w:rsidR="001E53C1" w:rsidRDefault="00421358" w:rsidP="005E297B">
            <w:pPr>
              <w:pStyle w:val="TableParagraph"/>
              <w:ind w:left="0"/>
              <w:rPr>
                <w:sz w:val="24"/>
              </w:rPr>
            </w:pPr>
            <w:r>
              <w:rPr>
                <w:sz w:val="24"/>
                <w:lang w:val="en-US"/>
              </w:rPr>
              <w:t>"CON" is 0 votes;</w:t>
            </w:r>
          </w:p>
          <w:p w:rsidR="001E53C1" w:rsidRDefault="00421358" w:rsidP="005E297B">
            <w:pPr>
              <w:pStyle w:val="TableParagraph"/>
              <w:ind w:left="0"/>
              <w:rPr>
                <w:sz w:val="24"/>
              </w:rPr>
            </w:pPr>
            <w:r>
              <w:rPr>
                <w:sz w:val="24"/>
                <w:lang w:val="en-US"/>
              </w:rPr>
              <w:t>"ABSTAIN" is 2 votes.</w:t>
            </w:r>
          </w:p>
        </w:tc>
      </w:tr>
      <w:tr w:rsidR="002D087E" w:rsidTr="005E297B">
        <w:trPr>
          <w:trHeight w:val="20"/>
        </w:trPr>
        <w:tc>
          <w:tcPr>
            <w:tcW w:w="5000" w:type="pct"/>
            <w:gridSpan w:val="7"/>
          </w:tcPr>
          <w:p w:rsidR="001E53C1" w:rsidRDefault="00421358" w:rsidP="005E297B">
            <w:pPr>
              <w:pStyle w:val="TableParagraph"/>
              <w:ind w:left="0" w:firstLine="289"/>
              <w:rPr>
                <w:b/>
                <w:sz w:val="24"/>
              </w:rPr>
            </w:pPr>
            <w:r>
              <w:rPr>
                <w:b/>
                <w:sz w:val="24"/>
                <w:lang w:val="en-US"/>
              </w:rPr>
              <w:t>Insider information disclosure on issue No. 1: On review of the report on compliance with the Company's Information Policy Regulations for 2018.</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2.2.1. Resolution content adopted by the Issuer's Board of Directors:</w:t>
            </w:r>
          </w:p>
          <w:p w:rsidR="001E53C1" w:rsidRDefault="00421358" w:rsidP="005E297B">
            <w:pPr>
              <w:pStyle w:val="TableParagraph"/>
              <w:ind w:left="0" w:firstLine="289"/>
              <w:jc w:val="both"/>
              <w:rPr>
                <w:sz w:val="24"/>
              </w:rPr>
            </w:pPr>
            <w:r>
              <w:rPr>
                <w:sz w:val="24"/>
                <w:lang w:val="en-US"/>
              </w:rPr>
              <w:t>Take into consideration the report of the Single Executive Body on compliance with the Regulations on the Information Policy of IDGC of the South, PJSC for 2018 as per Annex No. 1 to this resolution of the Company's Board of Directors.</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t>Insider information disclosure on issue No. 2: On implementation by the single executive body of the Company of resolutions adopted at meetings of the Company's Board of Directors.</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2.2.2. Resolution content adopted by the Issuer's Board of Directors:</w:t>
            </w:r>
          </w:p>
          <w:p w:rsidR="001E53C1" w:rsidRDefault="00421358" w:rsidP="005E297B">
            <w:pPr>
              <w:pStyle w:val="TableParagraph"/>
              <w:numPr>
                <w:ilvl w:val="0"/>
                <w:numId w:val="4"/>
              </w:numPr>
              <w:tabs>
                <w:tab w:val="left" w:pos="910"/>
              </w:tabs>
              <w:ind w:left="0" w:firstLine="289"/>
              <w:jc w:val="both"/>
              <w:rPr>
                <w:sz w:val="24"/>
              </w:rPr>
            </w:pPr>
            <w:r>
              <w:rPr>
                <w:sz w:val="24"/>
                <w:lang w:val="en-US"/>
              </w:rPr>
              <w:t>Take into consideration the report of the Single Executive Body of the Company on the implementation of resolutions adopted at meetings of the Company's Board of Directors, as per Annex 2 hereto.</w:t>
            </w:r>
          </w:p>
          <w:p w:rsidR="001E53C1" w:rsidRDefault="00421358" w:rsidP="005E297B">
            <w:pPr>
              <w:pStyle w:val="TableParagraph"/>
              <w:numPr>
                <w:ilvl w:val="0"/>
                <w:numId w:val="4"/>
              </w:numPr>
              <w:tabs>
                <w:tab w:val="left" w:pos="878"/>
              </w:tabs>
              <w:ind w:left="0" w:firstLine="289"/>
              <w:jc w:val="both"/>
              <w:rPr>
                <w:sz w:val="24"/>
              </w:rPr>
            </w:pPr>
            <w:r>
              <w:rPr>
                <w:sz w:val="24"/>
                <w:lang w:val="en-US"/>
              </w:rPr>
              <w:t>State paragraph 3 of the resolution of the Board of Directors of IDGC of the South, PJSC dated December 19, 2016 (Minutes No. 209/2016 dated December 21, 2016) regarding issue No. 13 "On approval of the Program of guarantee and improvement of the internal audit quality of IDGC of the South, PJSC in the following wording:</w:t>
            </w:r>
          </w:p>
          <w:p w:rsidR="001E53C1" w:rsidRDefault="00421358" w:rsidP="005E297B">
            <w:pPr>
              <w:pStyle w:val="TableParagraph"/>
              <w:ind w:left="0" w:firstLine="289"/>
              <w:jc w:val="both"/>
              <w:rPr>
                <w:sz w:val="24"/>
              </w:rPr>
            </w:pPr>
            <w:r>
              <w:rPr>
                <w:sz w:val="24"/>
                <w:lang w:val="en-US"/>
              </w:rPr>
              <w:t>"The single executive body of the Company shall ensure that an external assessment of the quality of the internal audit of the Company as of December 31, 2018, is performed and the results are submitted to the Board of Directors with preliminary consideration by the Audit Committee.</w:t>
            </w:r>
          </w:p>
          <w:p w:rsidR="001E53C1" w:rsidRDefault="00421358" w:rsidP="005E297B">
            <w:pPr>
              <w:pStyle w:val="TableParagraph"/>
              <w:ind w:left="0" w:firstLine="289"/>
              <w:jc w:val="both"/>
              <w:rPr>
                <w:sz w:val="24"/>
              </w:rPr>
            </w:pPr>
            <w:r>
              <w:rPr>
                <w:sz w:val="24"/>
                <w:lang w:val="en-US"/>
              </w:rPr>
              <w:t>Deadline: not later than December 31, 2019".</w:t>
            </w:r>
          </w:p>
          <w:p w:rsidR="001E53C1" w:rsidRDefault="00421358" w:rsidP="005E297B">
            <w:pPr>
              <w:pStyle w:val="TableParagraph"/>
              <w:numPr>
                <w:ilvl w:val="0"/>
                <w:numId w:val="4"/>
              </w:numPr>
              <w:tabs>
                <w:tab w:val="left" w:pos="1158"/>
                <w:tab w:val="left" w:pos="1159"/>
              </w:tabs>
              <w:ind w:left="0" w:firstLine="289"/>
              <w:jc w:val="both"/>
              <w:rPr>
                <w:sz w:val="24"/>
              </w:rPr>
            </w:pPr>
            <w:r>
              <w:rPr>
                <w:sz w:val="24"/>
                <w:lang w:val="en-US"/>
              </w:rPr>
              <w:t>Entrust the Single Executive Body of the Company with:</w:t>
            </w:r>
          </w:p>
          <w:p w:rsidR="001E53C1" w:rsidRDefault="00421358" w:rsidP="005E297B">
            <w:pPr>
              <w:pStyle w:val="TableParagraph"/>
              <w:numPr>
                <w:ilvl w:val="1"/>
                <w:numId w:val="4"/>
              </w:numPr>
              <w:tabs>
                <w:tab w:val="left" w:pos="1229"/>
              </w:tabs>
              <w:ind w:left="0" w:firstLine="289"/>
              <w:jc w:val="both"/>
              <w:rPr>
                <w:sz w:val="24"/>
              </w:rPr>
            </w:pPr>
            <w:r>
              <w:rPr>
                <w:sz w:val="24"/>
                <w:lang w:val="en-US"/>
              </w:rPr>
              <w:t>Ensure strict compliance with Resolution No. 1352 of the Government of the Russian Federation dated December 11, 2014 in terms of payment terms under contracts concluded with small and medium-sized businesses.</w:t>
            </w:r>
          </w:p>
          <w:p w:rsidR="001E53C1" w:rsidRDefault="00421358" w:rsidP="005E297B">
            <w:pPr>
              <w:pStyle w:val="TableParagraph"/>
              <w:numPr>
                <w:ilvl w:val="1"/>
                <w:numId w:val="4"/>
              </w:numPr>
              <w:tabs>
                <w:tab w:val="left" w:pos="1159"/>
              </w:tabs>
              <w:ind w:left="0" w:firstLine="289"/>
              <w:jc w:val="both"/>
              <w:rPr>
                <w:sz w:val="24"/>
              </w:rPr>
            </w:pPr>
            <w:r>
              <w:rPr>
                <w:sz w:val="24"/>
                <w:lang w:val="en-US"/>
              </w:rPr>
              <w:t>Provide within the report on the implementation in the Q1 2019 of the resolutions made at the meetings of the Company's Board of Directors, information on measures taken to ensure timely payment for contracts concluded with small and medium-sized businesses.</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t>Insider information disclosure on issue No. 3: On providing insurance coverage of the Company in Q1 2019.</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2.2.3. Resolution content adopted by the Issuer's Board of Directors:</w:t>
            </w:r>
          </w:p>
          <w:p w:rsidR="001E53C1" w:rsidRDefault="00421358" w:rsidP="005E297B">
            <w:pPr>
              <w:pStyle w:val="TableParagraph"/>
              <w:ind w:left="0" w:firstLine="289"/>
              <w:jc w:val="both"/>
              <w:rPr>
                <w:sz w:val="24"/>
              </w:rPr>
            </w:pPr>
            <w:r>
              <w:rPr>
                <w:sz w:val="24"/>
                <w:lang w:val="en-US"/>
              </w:rPr>
              <w:t>Take into consideration the report of the General Director of the Company on provision of insurance coverage in Q1 2019 as per Annex No. 3 to this</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lastRenderedPageBreak/>
              <w:t>resolution of the Company's Board of Directors.</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t>Insider information disclosure on issue No. 4: On the progress of the Company's Register of non-core assets execution as of March 31, 2019.</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2.2.4. Resolution content adopted by the Issuer's Board of Directors:</w:t>
            </w:r>
          </w:p>
          <w:p w:rsidR="001E53C1" w:rsidRDefault="00421358" w:rsidP="005E297B">
            <w:pPr>
              <w:pStyle w:val="TableParagraph"/>
              <w:ind w:left="0" w:firstLine="289"/>
              <w:jc w:val="both"/>
              <w:rPr>
                <w:sz w:val="24"/>
              </w:rPr>
            </w:pPr>
            <w:r>
              <w:rPr>
                <w:sz w:val="24"/>
                <w:lang w:val="en-US"/>
              </w:rPr>
              <w:t>Take into consideration the Report of the Single Executive Body of the Company on the execution of the Register of non-core assets of IDGC of the South, PJSC for Q1 2019 in accordance with Annex No. 4 hereto.</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t>Insider information disclosure on issue No. 5: On approval of the Register of non-core assets of IDGC of the South, PJSC as of March 31, 2019.</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2.2.5. Resolution content adopted by the Issuer's Board of Directors:</w:t>
            </w:r>
          </w:p>
          <w:p w:rsidR="001E53C1" w:rsidRDefault="00421358" w:rsidP="005E297B">
            <w:pPr>
              <w:pStyle w:val="TableParagraph"/>
              <w:ind w:left="0" w:firstLine="289"/>
              <w:jc w:val="both"/>
              <w:rPr>
                <w:sz w:val="24"/>
              </w:rPr>
            </w:pPr>
            <w:r>
              <w:rPr>
                <w:sz w:val="24"/>
                <w:lang w:val="en-US"/>
              </w:rPr>
              <w:t>Approve the Register of non-core assets of IDGC of the South, PJSC as of March 31, 2019, in accordance with Annex No. 5 to this Board of Directors resolution.</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t>Insider information disclosure on issue No. 6: Consideration of the report of the Single Executive Body of the Company on the organization and functioning of the internal control system and the report of the Single Executive Body and the Management Board of the Company on the organization, functioning and efficiency of the risk management system, including information on the implementation of measures to improve these systems.</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2.2.6. Resolution content adopted by the Issuer's Board of Directors:</w:t>
            </w:r>
          </w:p>
          <w:p w:rsidR="001E53C1" w:rsidRDefault="00421358" w:rsidP="005E297B">
            <w:pPr>
              <w:pStyle w:val="TableParagraph"/>
              <w:numPr>
                <w:ilvl w:val="0"/>
                <w:numId w:val="3"/>
              </w:numPr>
              <w:tabs>
                <w:tab w:val="left" w:pos="895"/>
              </w:tabs>
              <w:ind w:left="0" w:firstLine="289"/>
              <w:jc w:val="both"/>
              <w:rPr>
                <w:sz w:val="24"/>
              </w:rPr>
            </w:pPr>
            <w:r>
              <w:rPr>
                <w:sz w:val="24"/>
                <w:lang w:val="en-US"/>
              </w:rPr>
              <w:t>Take into consideration the report of the Single Executive Body of the Company on the organization and functioning of the internal control system and the report of the Single Executive Body and the Management Board of the Company on the organization, functioning and efficiency of the risk management system, including information on the implementation of measures to improve these systems in 2018 in accordance with Annex No. 6 hereto.</w:t>
            </w:r>
          </w:p>
          <w:p w:rsidR="001E53C1" w:rsidRDefault="00421358" w:rsidP="005E297B">
            <w:pPr>
              <w:pStyle w:val="TableParagraph"/>
              <w:numPr>
                <w:ilvl w:val="0"/>
                <w:numId w:val="3"/>
              </w:numPr>
              <w:tabs>
                <w:tab w:val="left" w:pos="924"/>
              </w:tabs>
              <w:ind w:left="0" w:firstLine="289"/>
              <w:jc w:val="both"/>
              <w:rPr>
                <w:sz w:val="24"/>
              </w:rPr>
            </w:pPr>
            <w:r>
              <w:rPr>
                <w:sz w:val="24"/>
                <w:lang w:val="en-US"/>
              </w:rPr>
              <w:t xml:space="preserve">Formulate instructions to the Single Executive Body of the Company regarding measures to further develop the internal control system after considering the results of an external independent evaluation of the efficiency of the internal control system. </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t>Insider information disclosure on issue No. 7: On determining the Company's position on the agenda issue at the Annual General Meeting of Shareholders of IDGC of the South, S.A. - Recreation Center "Energetik", JSC.</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2.2.7. Resolution content adopted by the Issuer's Board of Directors:</w:t>
            </w:r>
          </w:p>
          <w:p w:rsidR="001E53C1" w:rsidRDefault="00421358" w:rsidP="005E297B">
            <w:pPr>
              <w:pStyle w:val="TableParagraph"/>
              <w:ind w:left="0" w:firstLine="289"/>
              <w:jc w:val="both"/>
              <w:rPr>
                <w:sz w:val="24"/>
              </w:rPr>
            </w:pPr>
            <w:r>
              <w:rPr>
                <w:sz w:val="24"/>
                <w:lang w:val="en-US"/>
              </w:rPr>
              <w:t>Instruct the representatives of IDGC of the South, PJSC to vote "PRO" at the Annual General Meeting of Shareholders of Recreation Center "Energetik", JSC on the issue "On reduction of the authorized capital of the Company by reducing the nominal value of shares":</w:t>
            </w:r>
          </w:p>
          <w:p w:rsidR="001E53C1" w:rsidRDefault="00421358" w:rsidP="005E297B">
            <w:pPr>
              <w:pStyle w:val="TableParagraph"/>
              <w:ind w:left="0" w:firstLine="289"/>
              <w:jc w:val="both"/>
              <w:rPr>
                <w:sz w:val="24"/>
              </w:rPr>
            </w:pPr>
            <w:r>
              <w:rPr>
                <w:sz w:val="24"/>
                <w:lang w:val="en-US"/>
              </w:rPr>
              <w:t>Reduce the authorized capital of Recreation Center "Energetik", JSC to 30,045,425.85 RUB by reducing the nominal value of ordinary registered shares to 0.27 RUB per ordinary registered share.</w:t>
            </w:r>
          </w:p>
          <w:p w:rsidR="001E53C1" w:rsidRDefault="00421358" w:rsidP="005E297B">
            <w:pPr>
              <w:pStyle w:val="TableParagraph"/>
              <w:ind w:left="0" w:firstLine="289"/>
              <w:jc w:val="both"/>
              <w:rPr>
                <w:sz w:val="24"/>
              </w:rPr>
            </w:pPr>
            <w:r>
              <w:rPr>
                <w:sz w:val="24"/>
                <w:lang w:val="en-US"/>
              </w:rPr>
              <w:t>Method of placement of shares - conversion of shares into shares of the same category (type) with lower par value.</w:t>
            </w:r>
          </w:p>
          <w:p w:rsidR="001E53C1" w:rsidRDefault="00421358" w:rsidP="005E297B">
            <w:pPr>
              <w:pStyle w:val="TableParagraph"/>
              <w:ind w:left="0" w:firstLine="289"/>
              <w:jc w:val="both"/>
              <w:rPr>
                <w:sz w:val="24"/>
              </w:rPr>
            </w:pPr>
            <w:r>
              <w:rPr>
                <w:sz w:val="24"/>
                <w:lang w:val="en-US"/>
              </w:rPr>
              <w:t>The procedure for determining the conversion date is the 15th business day from the date of state registration of the shares issue.</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t>Insider information disclosure on issue No. 8: On approval of the report on work of the Corporate Secretary of IDGC of the South, PJSC.</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2.2.8. Resolution content adopted by the Issuer's Board of Directors:</w:t>
            </w:r>
          </w:p>
          <w:p w:rsidR="001E53C1" w:rsidRDefault="00421358" w:rsidP="005E297B">
            <w:pPr>
              <w:pStyle w:val="TableParagraph"/>
              <w:numPr>
                <w:ilvl w:val="0"/>
                <w:numId w:val="2"/>
              </w:numPr>
              <w:tabs>
                <w:tab w:val="left" w:pos="879"/>
              </w:tabs>
              <w:ind w:left="0" w:firstLine="289"/>
              <w:jc w:val="both"/>
              <w:rPr>
                <w:sz w:val="24"/>
              </w:rPr>
            </w:pPr>
            <w:r>
              <w:rPr>
                <w:sz w:val="24"/>
                <w:lang w:val="en-US"/>
              </w:rPr>
              <w:t>Approve the Report on the Corporate Secretary of IDGC of the South, PJSC as per Annex 7 to this Resolution of the Board of Directors.</w:t>
            </w:r>
          </w:p>
          <w:p w:rsidR="001E53C1" w:rsidRDefault="00421358" w:rsidP="005E297B">
            <w:pPr>
              <w:pStyle w:val="TableParagraph"/>
              <w:numPr>
                <w:ilvl w:val="0"/>
                <w:numId w:val="2"/>
              </w:numPr>
              <w:tabs>
                <w:tab w:val="left" w:pos="879"/>
                <w:tab w:val="left" w:pos="2496"/>
              </w:tabs>
              <w:ind w:left="0" w:firstLine="289"/>
              <w:jc w:val="both"/>
              <w:rPr>
                <w:sz w:val="24"/>
              </w:rPr>
            </w:pPr>
            <w:r>
              <w:rPr>
                <w:sz w:val="24"/>
                <w:lang w:val="en-US"/>
              </w:rPr>
              <w:t>Following the results of work for the reporting period to pay to the Corporate Secretary of the Company, Elena Nikolaevna Pavlova, additional remuneration in the amount</w:t>
            </w:r>
          </w:p>
        </w:tc>
      </w:tr>
      <w:tr w:rsidR="002D087E" w:rsidTr="005E297B">
        <w:trPr>
          <w:trHeight w:val="20"/>
        </w:trPr>
        <w:tc>
          <w:tcPr>
            <w:tcW w:w="5000" w:type="pct"/>
            <w:gridSpan w:val="7"/>
          </w:tcPr>
          <w:p w:rsidR="001E53C1" w:rsidRDefault="00421358" w:rsidP="005E297B">
            <w:pPr>
              <w:pStyle w:val="TableParagraph"/>
              <w:tabs>
                <w:tab w:val="left" w:pos="1640"/>
                <w:tab w:val="left" w:pos="3326"/>
                <w:tab w:val="left" w:pos="5223"/>
                <w:tab w:val="left" w:pos="7211"/>
                <w:tab w:val="left" w:pos="8524"/>
              </w:tabs>
              <w:ind w:left="0" w:firstLine="289"/>
              <w:jc w:val="both"/>
              <w:rPr>
                <w:sz w:val="24"/>
              </w:rPr>
            </w:pPr>
            <w:r>
              <w:rPr>
                <w:sz w:val="24"/>
                <w:lang w:val="en-US"/>
              </w:rPr>
              <w:t>of three times monthly remuneration to the Corporate Secretary of the Company, established by the Regulations on payment of remuneration and compensations to the Corporate Secretary of IDGC of the South, PJSC (approved by Order of IDGC of the South, PJSC No. 701 of October 24, 2016, as amended by Order of IDGC of the South, PJSC No. 872 of December 5, 2017).</w:t>
            </w:r>
          </w:p>
        </w:tc>
      </w:tr>
      <w:tr w:rsidR="002D087E" w:rsidTr="005E297B">
        <w:trPr>
          <w:trHeight w:val="20"/>
        </w:trPr>
        <w:tc>
          <w:tcPr>
            <w:tcW w:w="5000" w:type="pct"/>
            <w:gridSpan w:val="7"/>
          </w:tcPr>
          <w:p w:rsidR="001E53C1" w:rsidRDefault="00421358" w:rsidP="005E297B">
            <w:pPr>
              <w:pStyle w:val="TableParagraph"/>
              <w:ind w:left="0" w:firstLine="289"/>
              <w:jc w:val="both"/>
              <w:rPr>
                <w:b/>
                <w:sz w:val="24"/>
              </w:rPr>
            </w:pPr>
            <w:r>
              <w:rPr>
                <w:b/>
                <w:sz w:val="24"/>
                <w:lang w:val="en-US"/>
              </w:rPr>
              <w:lastRenderedPageBreak/>
              <w:t>Insider information disclosure on issue No. 9: On execution of the Plan of measures of IDGC of the South, PJSC aimed at the prevention and suppression of violations of requirements of the legislation of the Russian Federation on the electric power industry for the Q1 2019.</w:t>
            </w:r>
          </w:p>
        </w:tc>
      </w:tr>
      <w:tr w:rsidR="002D087E" w:rsidTr="005E297B">
        <w:trPr>
          <w:trHeight w:val="20"/>
        </w:trPr>
        <w:tc>
          <w:tcPr>
            <w:tcW w:w="5000" w:type="pct"/>
            <w:gridSpan w:val="7"/>
          </w:tcPr>
          <w:p w:rsidR="001E53C1" w:rsidRDefault="00421358" w:rsidP="005E297B">
            <w:pPr>
              <w:pStyle w:val="TableParagraph"/>
              <w:ind w:left="0" w:firstLine="289"/>
              <w:jc w:val="both"/>
              <w:rPr>
                <w:sz w:val="24"/>
              </w:rPr>
            </w:pPr>
            <w:r>
              <w:rPr>
                <w:sz w:val="24"/>
                <w:lang w:val="en-US"/>
              </w:rPr>
              <w:t>2.2.9. Resolution content adopted by the Issuer's Board of Directors:</w:t>
            </w:r>
          </w:p>
          <w:p w:rsidR="001E53C1" w:rsidRDefault="00421358" w:rsidP="005E297B">
            <w:pPr>
              <w:pStyle w:val="TableParagraph"/>
              <w:ind w:left="0" w:firstLine="289"/>
              <w:jc w:val="both"/>
              <w:rPr>
                <w:sz w:val="24"/>
              </w:rPr>
            </w:pPr>
            <w:r>
              <w:rPr>
                <w:sz w:val="24"/>
                <w:lang w:val="en-US"/>
              </w:rPr>
              <w:t>Take into consideration the report on progress of execution of the Plan of measures of IDGC of the South, PJSC aimed at prevention and suppression of violations of the requirements of the legislation of the Russian Federation on electric power industry for the Q1 2019 in accordance with Annex No. 8 to this resolution of the Company's Board of Directors.</w:t>
            </w:r>
          </w:p>
        </w:tc>
      </w:tr>
      <w:tr w:rsidR="002D087E" w:rsidRPr="00064F7B" w:rsidTr="00D91A6C">
        <w:trPr>
          <w:trHeight w:val="20"/>
        </w:trPr>
        <w:tc>
          <w:tcPr>
            <w:tcW w:w="5000" w:type="pct"/>
            <w:gridSpan w:val="7"/>
            <w:tcBorders>
              <w:bottom w:val="single" w:sz="4" w:space="0" w:color="000000"/>
            </w:tcBorders>
          </w:tcPr>
          <w:p w:rsidR="001E53C1" w:rsidRPr="00064F7B" w:rsidRDefault="00421358" w:rsidP="005E297B">
            <w:pPr>
              <w:pStyle w:val="TableParagraph"/>
              <w:numPr>
                <w:ilvl w:val="1"/>
                <w:numId w:val="1"/>
              </w:numPr>
              <w:tabs>
                <w:tab w:val="left" w:pos="559"/>
              </w:tabs>
              <w:ind w:left="0" w:firstLine="0"/>
              <w:jc w:val="both"/>
              <w:rPr>
                <w:b/>
                <w:i/>
                <w:sz w:val="24"/>
                <w:lang w:val="en-US"/>
              </w:rPr>
            </w:pPr>
            <w:r>
              <w:rPr>
                <w:sz w:val="24"/>
                <w:lang w:val="en-US"/>
              </w:rPr>
              <w:t xml:space="preserve">Date of the meeting of the Issuer's Board of Directors at which the relevant resolutions were adopted: </w:t>
            </w:r>
            <w:r>
              <w:rPr>
                <w:b/>
                <w:i/>
                <w:sz w:val="24"/>
                <w:lang w:val="en-US"/>
              </w:rPr>
              <w:t>May 29, 2019.</w:t>
            </w:r>
          </w:p>
          <w:p w:rsidR="001E53C1" w:rsidRPr="00064F7B" w:rsidRDefault="00421358" w:rsidP="005E297B">
            <w:pPr>
              <w:pStyle w:val="TableParagraph"/>
              <w:numPr>
                <w:ilvl w:val="1"/>
                <w:numId w:val="1"/>
              </w:numPr>
              <w:tabs>
                <w:tab w:val="left" w:pos="648"/>
              </w:tabs>
              <w:ind w:left="0" w:firstLine="0"/>
              <w:jc w:val="both"/>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June 3, 2019, Minutes No. 322/2019.</w:t>
            </w:r>
          </w:p>
        </w:tc>
      </w:tr>
      <w:tr w:rsidR="002D087E" w:rsidTr="00D91A6C">
        <w:trPr>
          <w:trHeight w:val="20"/>
        </w:trPr>
        <w:tc>
          <w:tcPr>
            <w:tcW w:w="5000" w:type="pct"/>
            <w:gridSpan w:val="7"/>
            <w:tcBorders>
              <w:bottom w:val="single" w:sz="4" w:space="0" w:color="auto"/>
            </w:tcBorders>
          </w:tcPr>
          <w:p w:rsidR="005E297B" w:rsidRDefault="00421358" w:rsidP="005E297B">
            <w:pPr>
              <w:pStyle w:val="TableParagraph"/>
              <w:ind w:left="0"/>
              <w:jc w:val="center"/>
              <w:rPr>
                <w:sz w:val="24"/>
              </w:rPr>
            </w:pPr>
            <w:r>
              <w:rPr>
                <w:sz w:val="24"/>
                <w:lang w:val="en-US"/>
              </w:rPr>
              <w:t>3. Signature</w:t>
            </w:r>
          </w:p>
        </w:tc>
      </w:tr>
      <w:tr w:rsidR="002D087E" w:rsidTr="00D91A6C">
        <w:trPr>
          <w:trHeight w:val="93"/>
        </w:trPr>
        <w:tc>
          <w:tcPr>
            <w:tcW w:w="2591" w:type="pct"/>
            <w:gridSpan w:val="5"/>
            <w:vMerge w:val="restart"/>
            <w:tcBorders>
              <w:top w:val="single" w:sz="4" w:space="0" w:color="auto"/>
              <w:bottom w:val="nil"/>
              <w:right w:val="nil"/>
            </w:tcBorders>
          </w:tcPr>
          <w:p w:rsidR="005E297B" w:rsidRPr="00064F7B" w:rsidRDefault="00421358" w:rsidP="005E297B">
            <w:pPr>
              <w:pStyle w:val="TableParagraph"/>
              <w:ind w:left="0"/>
              <w:rPr>
                <w:lang w:val="en-US"/>
              </w:rPr>
            </w:pPr>
            <w:r>
              <w:rPr>
                <w:sz w:val="24"/>
                <w:lang w:val="en-US"/>
              </w:rPr>
              <w:t xml:space="preserve">3.1. Head of Corporate Governance and Shareholder Relations Department (by proxy No. 86-19 dated January 1, 2019) </w:t>
            </w:r>
          </w:p>
        </w:tc>
        <w:tc>
          <w:tcPr>
            <w:tcW w:w="749" w:type="pct"/>
            <w:tcBorders>
              <w:top w:val="single" w:sz="4" w:space="0" w:color="auto"/>
              <w:left w:val="nil"/>
              <w:bottom w:val="single" w:sz="4" w:space="0" w:color="auto"/>
              <w:right w:val="nil"/>
            </w:tcBorders>
          </w:tcPr>
          <w:p w:rsidR="005E297B" w:rsidRPr="00064F7B" w:rsidRDefault="00064F7B" w:rsidP="005E297B">
            <w:pPr>
              <w:pStyle w:val="TableParagraph"/>
              <w:ind w:left="0"/>
              <w:jc w:val="center"/>
              <w:rPr>
                <w:lang w:val="en-US"/>
              </w:rPr>
            </w:pPr>
          </w:p>
        </w:tc>
        <w:tc>
          <w:tcPr>
            <w:tcW w:w="1660" w:type="pct"/>
            <w:tcBorders>
              <w:top w:val="single" w:sz="4" w:space="0" w:color="auto"/>
              <w:left w:val="nil"/>
              <w:bottom w:val="nil"/>
            </w:tcBorders>
            <w:vAlign w:val="bottom"/>
          </w:tcPr>
          <w:p w:rsidR="005E297B" w:rsidRDefault="00421358" w:rsidP="005E297B">
            <w:pPr>
              <w:pStyle w:val="TableParagraph"/>
              <w:ind w:left="0"/>
            </w:pPr>
            <w:r>
              <w:rPr>
                <w:sz w:val="24"/>
                <w:lang w:val="en-US"/>
              </w:rPr>
              <w:t>Pavlova E.N.</w:t>
            </w:r>
          </w:p>
        </w:tc>
      </w:tr>
      <w:tr w:rsidR="002D087E" w:rsidTr="005E297B">
        <w:trPr>
          <w:trHeight w:val="229"/>
        </w:trPr>
        <w:tc>
          <w:tcPr>
            <w:tcW w:w="2591" w:type="pct"/>
            <w:gridSpan w:val="5"/>
            <w:vMerge/>
            <w:tcBorders>
              <w:top w:val="nil"/>
              <w:bottom w:val="nil"/>
              <w:right w:val="nil"/>
            </w:tcBorders>
          </w:tcPr>
          <w:p w:rsidR="005E297B" w:rsidRDefault="00064F7B" w:rsidP="005E297B">
            <w:pPr>
              <w:pStyle w:val="TableParagraph"/>
              <w:ind w:left="0"/>
              <w:rPr>
                <w:sz w:val="24"/>
              </w:rPr>
            </w:pPr>
          </w:p>
        </w:tc>
        <w:tc>
          <w:tcPr>
            <w:tcW w:w="749" w:type="pct"/>
            <w:tcBorders>
              <w:top w:val="nil"/>
              <w:left w:val="nil"/>
              <w:bottom w:val="nil"/>
              <w:right w:val="nil"/>
            </w:tcBorders>
          </w:tcPr>
          <w:p w:rsidR="005E297B" w:rsidRDefault="00421358" w:rsidP="005E297B">
            <w:pPr>
              <w:pStyle w:val="TableParagraph"/>
              <w:tabs>
                <w:tab w:val="left" w:pos="5729"/>
                <w:tab w:val="left" w:pos="5854"/>
                <w:tab w:val="left" w:pos="7224"/>
                <w:tab w:val="left" w:pos="7774"/>
              </w:tabs>
              <w:ind w:left="0"/>
              <w:jc w:val="center"/>
              <w:rPr>
                <w:sz w:val="24"/>
              </w:rPr>
            </w:pPr>
            <w:r>
              <w:rPr>
                <w:sz w:val="24"/>
                <w:lang w:val="en-US"/>
              </w:rPr>
              <w:t>(signature)</w:t>
            </w:r>
          </w:p>
          <w:p w:rsidR="005E297B" w:rsidRDefault="00064F7B" w:rsidP="005E297B">
            <w:pPr>
              <w:pStyle w:val="TableParagraph"/>
              <w:ind w:left="0"/>
            </w:pPr>
            <w:r w:rsidRPr="00064F7B">
              <w:rPr>
                <w:lang w:val="en-US"/>
              </w:rPr>
              <w:t>L.S.</w:t>
            </w:r>
            <w:bookmarkStart w:id="0" w:name="_GoBack"/>
            <w:bookmarkEnd w:id="0"/>
          </w:p>
        </w:tc>
        <w:tc>
          <w:tcPr>
            <w:tcW w:w="1660" w:type="pct"/>
            <w:tcBorders>
              <w:top w:val="nil"/>
              <w:left w:val="nil"/>
              <w:bottom w:val="nil"/>
            </w:tcBorders>
          </w:tcPr>
          <w:p w:rsidR="005E297B" w:rsidRDefault="00064F7B" w:rsidP="005E297B">
            <w:pPr>
              <w:pStyle w:val="TableParagraph"/>
              <w:ind w:left="0"/>
              <w:jc w:val="center"/>
            </w:pPr>
          </w:p>
        </w:tc>
      </w:tr>
      <w:tr w:rsidR="002D087E" w:rsidTr="005E297B">
        <w:trPr>
          <w:trHeight w:val="20"/>
        </w:trPr>
        <w:tc>
          <w:tcPr>
            <w:tcW w:w="635" w:type="pct"/>
            <w:tcBorders>
              <w:top w:val="nil"/>
              <w:right w:val="nil"/>
            </w:tcBorders>
          </w:tcPr>
          <w:p w:rsidR="001E53C1" w:rsidRDefault="00421358" w:rsidP="005E297B">
            <w:pPr>
              <w:pStyle w:val="TableParagraph"/>
              <w:ind w:left="0"/>
              <w:rPr>
                <w:sz w:val="24"/>
              </w:rPr>
            </w:pPr>
            <w:r>
              <w:rPr>
                <w:sz w:val="24"/>
                <w:lang w:val="en-US"/>
              </w:rPr>
              <w:t>3.2. Date</w:t>
            </w:r>
          </w:p>
        </w:tc>
        <w:tc>
          <w:tcPr>
            <w:tcW w:w="467" w:type="pct"/>
            <w:tcBorders>
              <w:top w:val="nil"/>
              <w:left w:val="nil"/>
              <w:right w:val="nil"/>
            </w:tcBorders>
          </w:tcPr>
          <w:p w:rsidR="001E53C1" w:rsidRDefault="00421358" w:rsidP="005E297B">
            <w:pPr>
              <w:pStyle w:val="TableParagraph"/>
              <w:ind w:left="0"/>
              <w:rPr>
                <w:sz w:val="24"/>
              </w:rPr>
            </w:pPr>
            <w:r w:rsidRPr="00392956">
              <w:rPr>
                <w:sz w:val="24"/>
                <w:u w:val="single"/>
                <w:lang w:val="en-US"/>
              </w:rPr>
              <w:t>June</w:t>
            </w:r>
          </w:p>
        </w:tc>
        <w:tc>
          <w:tcPr>
            <w:tcW w:w="601" w:type="pct"/>
            <w:tcBorders>
              <w:top w:val="nil"/>
              <w:left w:val="nil"/>
              <w:right w:val="nil"/>
            </w:tcBorders>
          </w:tcPr>
          <w:p w:rsidR="001E53C1" w:rsidRPr="00392956" w:rsidRDefault="00421358" w:rsidP="005E297B">
            <w:pPr>
              <w:pStyle w:val="TableParagraph"/>
              <w:ind w:left="0"/>
              <w:rPr>
                <w:sz w:val="24"/>
                <w:u w:val="single"/>
              </w:rPr>
            </w:pPr>
            <w:r w:rsidRPr="00392956">
              <w:rPr>
                <w:sz w:val="24"/>
                <w:u w:val="single"/>
                <w:lang w:val="en-US"/>
              </w:rPr>
              <w:t>"04",</w:t>
            </w:r>
          </w:p>
        </w:tc>
        <w:tc>
          <w:tcPr>
            <w:tcW w:w="3297" w:type="pct"/>
            <w:gridSpan w:val="4"/>
            <w:tcBorders>
              <w:top w:val="nil"/>
              <w:left w:val="nil"/>
            </w:tcBorders>
          </w:tcPr>
          <w:p w:rsidR="001E53C1" w:rsidRDefault="00421358" w:rsidP="00392956">
            <w:pPr>
              <w:pStyle w:val="TableParagraph"/>
              <w:spacing w:after="120"/>
              <w:ind w:left="0"/>
              <w:rPr>
                <w:sz w:val="24"/>
              </w:rPr>
            </w:pPr>
            <w:r>
              <w:rPr>
                <w:sz w:val="24"/>
                <w:lang w:val="en-US"/>
              </w:rPr>
              <w:t>20</w:t>
            </w:r>
            <w:r w:rsidRPr="00392956">
              <w:rPr>
                <w:sz w:val="24"/>
                <w:u w:val="single"/>
                <w:lang w:val="en-US"/>
              </w:rPr>
              <w:t>19</w:t>
            </w:r>
            <w:r>
              <w:rPr>
                <w:sz w:val="24"/>
                <w:lang w:val="en-US"/>
              </w:rPr>
              <w:t xml:space="preserve"> </w:t>
            </w:r>
          </w:p>
        </w:tc>
      </w:tr>
    </w:tbl>
    <w:p w:rsidR="00480B3E" w:rsidRDefault="00064F7B" w:rsidP="005E297B"/>
    <w:sectPr w:rsidR="00480B3E" w:rsidSect="005E297B">
      <w:headerReference w:type="default" r:id="rId10"/>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20" w:rsidRDefault="00421358">
      <w:r>
        <w:separator/>
      </w:r>
    </w:p>
  </w:endnote>
  <w:endnote w:type="continuationSeparator" w:id="0">
    <w:p w:rsidR="00334C20" w:rsidRDefault="0042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20" w:rsidRDefault="00421358">
      <w:r>
        <w:separator/>
      </w:r>
    </w:p>
  </w:footnote>
  <w:footnote w:type="continuationSeparator" w:id="0">
    <w:p w:rsidR="00334C20" w:rsidRDefault="0042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7B" w:rsidRPr="005E297B" w:rsidRDefault="00421358" w:rsidP="005E297B">
    <w:pPr>
      <w:spacing w:before="10"/>
      <w:ind w:left="40"/>
      <w:jc w:val="right"/>
      <w:rPr>
        <w:szCs w:val="20"/>
      </w:rPr>
    </w:pPr>
    <w:r w:rsidRPr="005E297B">
      <w:rPr>
        <w:szCs w:val="20"/>
      </w:rPr>
      <w:fldChar w:fldCharType="begin"/>
    </w:r>
    <w:r w:rsidRPr="005E297B">
      <w:rPr>
        <w:szCs w:val="20"/>
      </w:rPr>
      <w:instrText xml:space="preserve"> PAGE </w:instrText>
    </w:r>
    <w:r w:rsidRPr="005E297B">
      <w:rPr>
        <w:szCs w:val="20"/>
      </w:rPr>
      <w:fldChar w:fldCharType="separate"/>
    </w:r>
    <w:r w:rsidR="00064F7B">
      <w:rPr>
        <w:noProof/>
        <w:szCs w:val="20"/>
      </w:rPr>
      <w:t>4</w:t>
    </w:r>
    <w:r w:rsidRPr="005E297B">
      <w:rPr>
        <w:szCs w:val="20"/>
      </w:rPr>
      <w:fldChar w:fldCharType="end"/>
    </w:r>
  </w:p>
  <w:p w:rsidR="001E53C1" w:rsidRPr="005E297B" w:rsidRDefault="00064F7B" w:rsidP="005E29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D61"/>
    <w:multiLevelType w:val="hybridMultilevel"/>
    <w:tmpl w:val="8604C6EE"/>
    <w:lvl w:ilvl="0" w:tplc="073E3562">
      <w:start w:val="1"/>
      <w:numFmt w:val="decimal"/>
      <w:lvlText w:val="%1."/>
      <w:lvlJc w:val="left"/>
      <w:pPr>
        <w:ind w:left="26" w:hanging="286"/>
        <w:jc w:val="left"/>
      </w:pPr>
      <w:rPr>
        <w:rFonts w:ascii="Times New Roman" w:eastAsia="Times New Roman" w:hAnsi="Times New Roman" w:cs="Times New Roman" w:hint="default"/>
        <w:spacing w:val="-30"/>
        <w:w w:val="100"/>
        <w:sz w:val="24"/>
        <w:szCs w:val="24"/>
        <w:lang w:val="ru-RU" w:eastAsia="ru-RU" w:bidi="ru-RU"/>
      </w:rPr>
    </w:lvl>
    <w:lvl w:ilvl="1" w:tplc="6388AF12">
      <w:numFmt w:val="bullet"/>
      <w:lvlText w:val="•"/>
      <w:lvlJc w:val="left"/>
      <w:pPr>
        <w:ind w:left="981" w:hanging="286"/>
      </w:pPr>
      <w:rPr>
        <w:rFonts w:hint="default"/>
        <w:lang w:val="ru-RU" w:eastAsia="ru-RU" w:bidi="ru-RU"/>
      </w:rPr>
    </w:lvl>
    <w:lvl w:ilvl="2" w:tplc="CAB63EEC">
      <w:numFmt w:val="bullet"/>
      <w:lvlText w:val="•"/>
      <w:lvlJc w:val="left"/>
      <w:pPr>
        <w:ind w:left="1942" w:hanging="286"/>
      </w:pPr>
      <w:rPr>
        <w:rFonts w:hint="default"/>
        <w:lang w:val="ru-RU" w:eastAsia="ru-RU" w:bidi="ru-RU"/>
      </w:rPr>
    </w:lvl>
    <w:lvl w:ilvl="3" w:tplc="71322CDE">
      <w:numFmt w:val="bullet"/>
      <w:lvlText w:val="•"/>
      <w:lvlJc w:val="left"/>
      <w:pPr>
        <w:ind w:left="2903" w:hanging="286"/>
      </w:pPr>
      <w:rPr>
        <w:rFonts w:hint="default"/>
        <w:lang w:val="ru-RU" w:eastAsia="ru-RU" w:bidi="ru-RU"/>
      </w:rPr>
    </w:lvl>
    <w:lvl w:ilvl="4" w:tplc="92925906">
      <w:numFmt w:val="bullet"/>
      <w:lvlText w:val="•"/>
      <w:lvlJc w:val="left"/>
      <w:pPr>
        <w:ind w:left="3864" w:hanging="286"/>
      </w:pPr>
      <w:rPr>
        <w:rFonts w:hint="default"/>
        <w:lang w:val="ru-RU" w:eastAsia="ru-RU" w:bidi="ru-RU"/>
      </w:rPr>
    </w:lvl>
    <w:lvl w:ilvl="5" w:tplc="C49E7CA8">
      <w:numFmt w:val="bullet"/>
      <w:lvlText w:val="•"/>
      <w:lvlJc w:val="left"/>
      <w:pPr>
        <w:ind w:left="4825" w:hanging="286"/>
      </w:pPr>
      <w:rPr>
        <w:rFonts w:hint="default"/>
        <w:lang w:val="ru-RU" w:eastAsia="ru-RU" w:bidi="ru-RU"/>
      </w:rPr>
    </w:lvl>
    <w:lvl w:ilvl="6" w:tplc="B3CE7C42">
      <w:numFmt w:val="bullet"/>
      <w:lvlText w:val="•"/>
      <w:lvlJc w:val="left"/>
      <w:pPr>
        <w:ind w:left="5786" w:hanging="286"/>
      </w:pPr>
      <w:rPr>
        <w:rFonts w:hint="default"/>
        <w:lang w:val="ru-RU" w:eastAsia="ru-RU" w:bidi="ru-RU"/>
      </w:rPr>
    </w:lvl>
    <w:lvl w:ilvl="7" w:tplc="95185E9C">
      <w:numFmt w:val="bullet"/>
      <w:lvlText w:val="•"/>
      <w:lvlJc w:val="left"/>
      <w:pPr>
        <w:ind w:left="6747" w:hanging="286"/>
      </w:pPr>
      <w:rPr>
        <w:rFonts w:hint="default"/>
        <w:lang w:val="ru-RU" w:eastAsia="ru-RU" w:bidi="ru-RU"/>
      </w:rPr>
    </w:lvl>
    <w:lvl w:ilvl="8" w:tplc="07BC10D6">
      <w:numFmt w:val="bullet"/>
      <w:lvlText w:val="•"/>
      <w:lvlJc w:val="left"/>
      <w:pPr>
        <w:ind w:left="7708" w:hanging="286"/>
      </w:pPr>
      <w:rPr>
        <w:rFonts w:hint="default"/>
        <w:lang w:val="ru-RU" w:eastAsia="ru-RU" w:bidi="ru-RU"/>
      </w:rPr>
    </w:lvl>
  </w:abstractNum>
  <w:abstractNum w:abstractNumId="1" w15:restartNumberingAfterBreak="0">
    <w:nsid w:val="18A7053E"/>
    <w:multiLevelType w:val="multilevel"/>
    <w:tmpl w:val="812E21EC"/>
    <w:lvl w:ilvl="0">
      <w:start w:val="1"/>
      <w:numFmt w:val="decimal"/>
      <w:lvlText w:val="%1."/>
      <w:lvlJc w:val="left"/>
      <w:pPr>
        <w:ind w:left="26" w:hanging="317"/>
        <w:jc w:val="left"/>
      </w:pPr>
      <w:rPr>
        <w:rFonts w:ascii="Times New Roman" w:eastAsia="Times New Roman" w:hAnsi="Times New Roman" w:cs="Times New Roman" w:hint="default"/>
        <w:spacing w:val="-5"/>
        <w:w w:val="100"/>
        <w:sz w:val="24"/>
        <w:szCs w:val="24"/>
        <w:lang w:val="ru-RU" w:eastAsia="ru-RU" w:bidi="ru-RU"/>
      </w:rPr>
    </w:lvl>
    <w:lvl w:ilvl="1">
      <w:start w:val="1"/>
      <w:numFmt w:val="decimal"/>
      <w:lvlText w:val="%1.%2."/>
      <w:lvlJc w:val="left"/>
      <w:pPr>
        <w:ind w:left="26" w:hanging="636"/>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1942" w:hanging="636"/>
      </w:pPr>
      <w:rPr>
        <w:rFonts w:hint="default"/>
        <w:lang w:val="ru-RU" w:eastAsia="ru-RU" w:bidi="ru-RU"/>
      </w:rPr>
    </w:lvl>
    <w:lvl w:ilvl="3">
      <w:numFmt w:val="bullet"/>
      <w:lvlText w:val="•"/>
      <w:lvlJc w:val="left"/>
      <w:pPr>
        <w:ind w:left="2903" w:hanging="636"/>
      </w:pPr>
      <w:rPr>
        <w:rFonts w:hint="default"/>
        <w:lang w:val="ru-RU" w:eastAsia="ru-RU" w:bidi="ru-RU"/>
      </w:rPr>
    </w:lvl>
    <w:lvl w:ilvl="4">
      <w:numFmt w:val="bullet"/>
      <w:lvlText w:val="•"/>
      <w:lvlJc w:val="left"/>
      <w:pPr>
        <w:ind w:left="3864" w:hanging="636"/>
      </w:pPr>
      <w:rPr>
        <w:rFonts w:hint="default"/>
        <w:lang w:val="ru-RU" w:eastAsia="ru-RU" w:bidi="ru-RU"/>
      </w:rPr>
    </w:lvl>
    <w:lvl w:ilvl="5">
      <w:numFmt w:val="bullet"/>
      <w:lvlText w:val="•"/>
      <w:lvlJc w:val="left"/>
      <w:pPr>
        <w:ind w:left="4825" w:hanging="636"/>
      </w:pPr>
      <w:rPr>
        <w:rFonts w:hint="default"/>
        <w:lang w:val="ru-RU" w:eastAsia="ru-RU" w:bidi="ru-RU"/>
      </w:rPr>
    </w:lvl>
    <w:lvl w:ilvl="6">
      <w:numFmt w:val="bullet"/>
      <w:lvlText w:val="•"/>
      <w:lvlJc w:val="left"/>
      <w:pPr>
        <w:ind w:left="5786" w:hanging="636"/>
      </w:pPr>
      <w:rPr>
        <w:rFonts w:hint="default"/>
        <w:lang w:val="ru-RU" w:eastAsia="ru-RU" w:bidi="ru-RU"/>
      </w:rPr>
    </w:lvl>
    <w:lvl w:ilvl="7">
      <w:numFmt w:val="bullet"/>
      <w:lvlText w:val="•"/>
      <w:lvlJc w:val="left"/>
      <w:pPr>
        <w:ind w:left="6747" w:hanging="636"/>
      </w:pPr>
      <w:rPr>
        <w:rFonts w:hint="default"/>
        <w:lang w:val="ru-RU" w:eastAsia="ru-RU" w:bidi="ru-RU"/>
      </w:rPr>
    </w:lvl>
    <w:lvl w:ilvl="8">
      <w:numFmt w:val="bullet"/>
      <w:lvlText w:val="•"/>
      <w:lvlJc w:val="left"/>
      <w:pPr>
        <w:ind w:left="7708" w:hanging="636"/>
      </w:pPr>
      <w:rPr>
        <w:rFonts w:hint="default"/>
        <w:lang w:val="ru-RU" w:eastAsia="ru-RU" w:bidi="ru-RU"/>
      </w:rPr>
    </w:lvl>
  </w:abstractNum>
  <w:abstractNum w:abstractNumId="2" w15:restartNumberingAfterBreak="0">
    <w:nsid w:val="413C6D67"/>
    <w:multiLevelType w:val="hybridMultilevel"/>
    <w:tmpl w:val="8A0A4AA6"/>
    <w:lvl w:ilvl="0" w:tplc="0248D724">
      <w:start w:val="1"/>
      <w:numFmt w:val="decimal"/>
      <w:lvlText w:val="%1."/>
      <w:lvlJc w:val="left"/>
      <w:pPr>
        <w:ind w:left="26" w:hanging="303"/>
        <w:jc w:val="left"/>
      </w:pPr>
      <w:rPr>
        <w:rFonts w:ascii="Times New Roman" w:eastAsia="Times New Roman" w:hAnsi="Times New Roman" w:cs="Times New Roman" w:hint="default"/>
        <w:spacing w:val="-30"/>
        <w:w w:val="100"/>
        <w:sz w:val="24"/>
        <w:szCs w:val="24"/>
        <w:lang w:val="ru-RU" w:eastAsia="ru-RU" w:bidi="ru-RU"/>
      </w:rPr>
    </w:lvl>
    <w:lvl w:ilvl="1" w:tplc="FA9E4A9A">
      <w:numFmt w:val="bullet"/>
      <w:lvlText w:val="•"/>
      <w:lvlJc w:val="left"/>
      <w:pPr>
        <w:ind w:left="981" w:hanging="303"/>
      </w:pPr>
      <w:rPr>
        <w:rFonts w:hint="default"/>
        <w:lang w:val="ru-RU" w:eastAsia="ru-RU" w:bidi="ru-RU"/>
      </w:rPr>
    </w:lvl>
    <w:lvl w:ilvl="2" w:tplc="58EE3724">
      <w:numFmt w:val="bullet"/>
      <w:lvlText w:val="•"/>
      <w:lvlJc w:val="left"/>
      <w:pPr>
        <w:ind w:left="1942" w:hanging="303"/>
      </w:pPr>
      <w:rPr>
        <w:rFonts w:hint="default"/>
        <w:lang w:val="ru-RU" w:eastAsia="ru-RU" w:bidi="ru-RU"/>
      </w:rPr>
    </w:lvl>
    <w:lvl w:ilvl="3" w:tplc="B442EA62">
      <w:numFmt w:val="bullet"/>
      <w:lvlText w:val="•"/>
      <w:lvlJc w:val="left"/>
      <w:pPr>
        <w:ind w:left="2903" w:hanging="303"/>
      </w:pPr>
      <w:rPr>
        <w:rFonts w:hint="default"/>
        <w:lang w:val="ru-RU" w:eastAsia="ru-RU" w:bidi="ru-RU"/>
      </w:rPr>
    </w:lvl>
    <w:lvl w:ilvl="4" w:tplc="6206DDA4">
      <w:numFmt w:val="bullet"/>
      <w:lvlText w:val="•"/>
      <w:lvlJc w:val="left"/>
      <w:pPr>
        <w:ind w:left="3864" w:hanging="303"/>
      </w:pPr>
      <w:rPr>
        <w:rFonts w:hint="default"/>
        <w:lang w:val="ru-RU" w:eastAsia="ru-RU" w:bidi="ru-RU"/>
      </w:rPr>
    </w:lvl>
    <w:lvl w:ilvl="5" w:tplc="64B03332">
      <w:numFmt w:val="bullet"/>
      <w:lvlText w:val="•"/>
      <w:lvlJc w:val="left"/>
      <w:pPr>
        <w:ind w:left="4825" w:hanging="303"/>
      </w:pPr>
      <w:rPr>
        <w:rFonts w:hint="default"/>
        <w:lang w:val="ru-RU" w:eastAsia="ru-RU" w:bidi="ru-RU"/>
      </w:rPr>
    </w:lvl>
    <w:lvl w:ilvl="6" w:tplc="66F0811E">
      <w:numFmt w:val="bullet"/>
      <w:lvlText w:val="•"/>
      <w:lvlJc w:val="left"/>
      <w:pPr>
        <w:ind w:left="5786" w:hanging="303"/>
      </w:pPr>
      <w:rPr>
        <w:rFonts w:hint="default"/>
        <w:lang w:val="ru-RU" w:eastAsia="ru-RU" w:bidi="ru-RU"/>
      </w:rPr>
    </w:lvl>
    <w:lvl w:ilvl="7" w:tplc="D3726152">
      <w:numFmt w:val="bullet"/>
      <w:lvlText w:val="•"/>
      <w:lvlJc w:val="left"/>
      <w:pPr>
        <w:ind w:left="6747" w:hanging="303"/>
      </w:pPr>
      <w:rPr>
        <w:rFonts w:hint="default"/>
        <w:lang w:val="ru-RU" w:eastAsia="ru-RU" w:bidi="ru-RU"/>
      </w:rPr>
    </w:lvl>
    <w:lvl w:ilvl="8" w:tplc="231C474E">
      <w:numFmt w:val="bullet"/>
      <w:lvlText w:val="•"/>
      <w:lvlJc w:val="left"/>
      <w:pPr>
        <w:ind w:left="7708" w:hanging="303"/>
      </w:pPr>
      <w:rPr>
        <w:rFonts w:hint="default"/>
        <w:lang w:val="ru-RU" w:eastAsia="ru-RU" w:bidi="ru-RU"/>
      </w:rPr>
    </w:lvl>
  </w:abstractNum>
  <w:abstractNum w:abstractNumId="3" w15:restartNumberingAfterBreak="0">
    <w:nsid w:val="7B467C47"/>
    <w:multiLevelType w:val="multilevel"/>
    <w:tmpl w:val="9132994E"/>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D087E"/>
    <w:rsid w:val="00064F7B"/>
    <w:rsid w:val="002D087E"/>
    <w:rsid w:val="00334C20"/>
    <w:rsid w:val="0042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5E5CD-111A-4612-9930-B71A2C60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E53C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1E53C1"/>
    <w:tblPr>
      <w:tblInd w:w="0" w:type="dxa"/>
      <w:tblCellMar>
        <w:top w:w="0" w:type="dxa"/>
        <w:left w:w="0" w:type="dxa"/>
        <w:bottom w:w="0" w:type="dxa"/>
        <w:right w:w="0" w:type="dxa"/>
      </w:tblCellMar>
    </w:tblPr>
  </w:style>
  <w:style w:type="paragraph" w:styleId="a3">
    <w:name w:val="Body Text"/>
    <w:basedOn w:val="a"/>
    <w:uiPriority w:val="1"/>
    <w:qFormat/>
    <w:rsid w:val="001E53C1"/>
    <w:rPr>
      <w:b/>
      <w:bCs/>
      <w:sz w:val="24"/>
      <w:szCs w:val="24"/>
    </w:rPr>
  </w:style>
  <w:style w:type="paragraph" w:styleId="a4">
    <w:name w:val="List Paragraph"/>
    <w:basedOn w:val="a"/>
    <w:uiPriority w:val="1"/>
    <w:qFormat/>
    <w:rsid w:val="001E53C1"/>
  </w:style>
  <w:style w:type="paragraph" w:customStyle="1" w:styleId="TableParagraph">
    <w:name w:val="Table Paragraph"/>
    <w:basedOn w:val="a"/>
    <w:uiPriority w:val="1"/>
    <w:qFormat/>
    <w:rsid w:val="001E53C1"/>
    <w:pPr>
      <w:ind w:left="167"/>
    </w:pPr>
  </w:style>
  <w:style w:type="paragraph" w:styleId="a5">
    <w:name w:val="header"/>
    <w:basedOn w:val="a"/>
    <w:link w:val="a6"/>
    <w:uiPriority w:val="99"/>
    <w:semiHidden/>
    <w:unhideWhenUsed/>
    <w:rsid w:val="005E297B"/>
    <w:pPr>
      <w:tabs>
        <w:tab w:val="center" w:pos="4677"/>
        <w:tab w:val="right" w:pos="9355"/>
      </w:tabs>
    </w:pPr>
  </w:style>
  <w:style w:type="character" w:customStyle="1" w:styleId="a6">
    <w:name w:val="Верхний колонтитул Знак"/>
    <w:basedOn w:val="a0"/>
    <w:link w:val="a5"/>
    <w:uiPriority w:val="99"/>
    <w:semiHidden/>
    <w:rsid w:val="005E297B"/>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5E297B"/>
    <w:pPr>
      <w:tabs>
        <w:tab w:val="center" w:pos="4677"/>
        <w:tab w:val="right" w:pos="9355"/>
      </w:tabs>
    </w:pPr>
  </w:style>
  <w:style w:type="character" w:customStyle="1" w:styleId="a8">
    <w:name w:val="Нижний колонтитул Знак"/>
    <w:basedOn w:val="a0"/>
    <w:link w:val="a7"/>
    <w:uiPriority w:val="99"/>
    <w:semiHidden/>
    <w:rsid w:val="005E297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10</cp:revision>
  <dcterms:created xsi:type="dcterms:W3CDTF">2019-12-28T10:51:00Z</dcterms:created>
  <dcterms:modified xsi:type="dcterms:W3CDTF">2020-01-20T13:14:00Z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2019-12-28T00:00:00Z</vt:filetime>
  </property>
</Properties>
</file>